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F1" w:rsidRDefault="000A23F1" w:rsidP="000A23F1">
      <w:pPr>
        <w:jc w:val="center"/>
        <w:rPr>
          <w:rFonts w:ascii="Arial" w:hAnsi="Arial" w:cs="Arial"/>
          <w:b/>
          <w:sz w:val="32"/>
          <w:szCs w:val="32"/>
          <w:u w:val="single"/>
        </w:rPr>
      </w:pPr>
      <w:r w:rsidRPr="000F3ED9">
        <w:rPr>
          <w:b/>
          <w:noProof/>
          <w:sz w:val="24"/>
          <w:lang w:eastAsia="en-GB"/>
        </w:rPr>
        <w:drawing>
          <wp:inline distT="0" distB="0" distL="0" distR="0" wp14:anchorId="77C10813" wp14:editId="435FCA2C">
            <wp:extent cx="1466850" cy="614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ford primar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667" cy="614414"/>
                    </a:xfrm>
                    <a:prstGeom prst="rect">
                      <a:avLst/>
                    </a:prstGeom>
                  </pic:spPr>
                </pic:pic>
              </a:graphicData>
            </a:graphic>
          </wp:inline>
        </w:drawing>
      </w:r>
    </w:p>
    <w:p w:rsidR="002157E8" w:rsidRPr="00772355" w:rsidRDefault="008B41DE" w:rsidP="00772355">
      <w:pPr>
        <w:jc w:val="center"/>
        <w:rPr>
          <w:rFonts w:cstheme="minorHAnsi"/>
          <w:b/>
          <w:sz w:val="32"/>
          <w:szCs w:val="32"/>
          <w:u w:val="single"/>
        </w:rPr>
      </w:pPr>
      <w:r w:rsidRPr="000A23F1">
        <w:rPr>
          <w:rFonts w:cstheme="minorHAnsi"/>
          <w:b/>
          <w:sz w:val="32"/>
          <w:szCs w:val="32"/>
          <w:u w:val="single"/>
        </w:rPr>
        <w:t>Pupil Premium Funding</w:t>
      </w:r>
      <w:r w:rsidR="0078684B" w:rsidRPr="000A23F1">
        <w:rPr>
          <w:rFonts w:cstheme="minorHAnsi"/>
          <w:b/>
          <w:sz w:val="32"/>
          <w:szCs w:val="32"/>
          <w:u w:val="single"/>
        </w:rPr>
        <w:t xml:space="preserve"> - </w:t>
      </w:r>
      <w:r w:rsidRPr="000A23F1">
        <w:rPr>
          <w:rFonts w:cstheme="minorHAnsi"/>
          <w:b/>
          <w:sz w:val="32"/>
          <w:szCs w:val="32"/>
          <w:u w:val="single"/>
        </w:rPr>
        <w:t xml:space="preserve">Report to Parents: </w:t>
      </w:r>
      <w:r w:rsidR="00331FF3">
        <w:rPr>
          <w:rFonts w:cstheme="minorHAnsi"/>
          <w:b/>
          <w:sz w:val="32"/>
          <w:szCs w:val="32"/>
          <w:u w:val="single"/>
        </w:rPr>
        <w:t xml:space="preserve">September </w:t>
      </w:r>
      <w:r w:rsidR="00B75B6F">
        <w:rPr>
          <w:rFonts w:cstheme="minorHAnsi"/>
          <w:b/>
          <w:sz w:val="32"/>
          <w:szCs w:val="32"/>
          <w:u w:val="single"/>
        </w:rPr>
        <w:t>20</w:t>
      </w:r>
      <w:r w:rsidR="008A25D1">
        <w:rPr>
          <w:rFonts w:cstheme="minorHAnsi"/>
          <w:b/>
          <w:sz w:val="32"/>
          <w:szCs w:val="32"/>
          <w:u w:val="single"/>
        </w:rPr>
        <w:t>21</w:t>
      </w:r>
    </w:p>
    <w:p w:rsidR="002157E8" w:rsidRPr="00DB1FAE" w:rsidRDefault="002157E8" w:rsidP="003B08E2">
      <w:pPr>
        <w:spacing w:after="0" w:line="240" w:lineRule="auto"/>
        <w:rPr>
          <w:rFonts w:cstheme="minorHAnsi"/>
          <w:b/>
          <w:sz w:val="24"/>
          <w:szCs w:val="24"/>
          <w:u w:val="single"/>
        </w:rPr>
      </w:pPr>
      <w:r w:rsidRPr="000A23F1">
        <w:rPr>
          <w:rFonts w:cstheme="minorHAnsi"/>
          <w:b/>
          <w:sz w:val="24"/>
          <w:szCs w:val="24"/>
          <w:u w:val="single"/>
        </w:rPr>
        <w:t>What is Pupil Premium funding?</w:t>
      </w:r>
    </w:p>
    <w:p w:rsidR="002157E8" w:rsidRPr="00DB1FAE" w:rsidRDefault="002157E8" w:rsidP="003B08E2">
      <w:pPr>
        <w:spacing w:after="0" w:line="240" w:lineRule="auto"/>
        <w:rPr>
          <w:rFonts w:cstheme="minorHAnsi"/>
          <w:sz w:val="20"/>
        </w:rPr>
      </w:pPr>
      <w:r w:rsidRPr="00DB1FAE">
        <w:rPr>
          <w:rFonts w:cstheme="minorHAnsi"/>
          <w:sz w:val="20"/>
        </w:rPr>
        <w:t xml:space="preserve">The Government allocates an amount of money to schools to support the most vulnerable children. This </w:t>
      </w:r>
      <w:proofErr w:type="gramStart"/>
      <w:r w:rsidRPr="00DB1FAE">
        <w:rPr>
          <w:rFonts w:cstheme="minorHAnsi"/>
          <w:sz w:val="20"/>
        </w:rPr>
        <w:t>is known</w:t>
      </w:r>
      <w:proofErr w:type="gramEnd"/>
      <w:r w:rsidRPr="00DB1FAE">
        <w:rPr>
          <w:rFonts w:cstheme="minorHAnsi"/>
          <w:sz w:val="20"/>
        </w:rPr>
        <w:t xml:space="preserve"> as Pupil Premium funding.</w:t>
      </w:r>
    </w:p>
    <w:p w:rsidR="00E118C5" w:rsidRPr="00DB1FAE" w:rsidRDefault="00E118C5" w:rsidP="003B08E2">
      <w:pPr>
        <w:spacing w:after="0" w:line="240" w:lineRule="auto"/>
        <w:rPr>
          <w:rFonts w:cstheme="minorHAnsi"/>
          <w:sz w:val="20"/>
        </w:rPr>
      </w:pPr>
    </w:p>
    <w:p w:rsidR="002157E8" w:rsidRPr="00DB1FAE" w:rsidRDefault="002157E8" w:rsidP="003B08E2">
      <w:pPr>
        <w:spacing w:after="0" w:line="240" w:lineRule="auto"/>
        <w:rPr>
          <w:rFonts w:cstheme="minorHAnsi"/>
          <w:sz w:val="20"/>
        </w:rPr>
      </w:pPr>
      <w:r w:rsidRPr="00DB1FAE">
        <w:rPr>
          <w:rFonts w:cstheme="minorHAnsi"/>
          <w:sz w:val="20"/>
        </w:rPr>
        <w:t>The Government states that this is “</w:t>
      </w:r>
      <w:r w:rsidRPr="00DB1FAE">
        <w:rPr>
          <w:rFonts w:cstheme="minorHAnsi"/>
          <w:i/>
          <w:sz w:val="20"/>
        </w:rPr>
        <w:t>additional funding given to publicly funded schools in England to raise the attainment of disadvantaged pupils and close the gap between them and their peers</w:t>
      </w:r>
      <w:r w:rsidRPr="00DB1FAE">
        <w:rPr>
          <w:rFonts w:cstheme="minorHAnsi"/>
          <w:sz w:val="20"/>
        </w:rPr>
        <w:t>”.</w:t>
      </w:r>
    </w:p>
    <w:p w:rsidR="002157E8" w:rsidRPr="000A23F1" w:rsidRDefault="002157E8" w:rsidP="003B08E2">
      <w:pPr>
        <w:spacing w:after="0" w:line="240" w:lineRule="auto"/>
        <w:rPr>
          <w:rFonts w:cstheme="minorHAnsi"/>
        </w:rPr>
      </w:pPr>
    </w:p>
    <w:p w:rsidR="00772355" w:rsidRPr="000A23F1" w:rsidRDefault="002157E8" w:rsidP="008D588B">
      <w:pPr>
        <w:autoSpaceDE w:val="0"/>
        <w:autoSpaceDN w:val="0"/>
        <w:adjustRightInd w:val="0"/>
        <w:spacing w:after="0" w:line="240" w:lineRule="auto"/>
        <w:rPr>
          <w:rFonts w:cstheme="minorHAnsi"/>
          <w:color w:val="000000"/>
        </w:rPr>
      </w:pPr>
      <w:r w:rsidRPr="000A23F1">
        <w:rPr>
          <w:rFonts w:cstheme="minorHAnsi"/>
          <w:color w:val="000000"/>
        </w:rPr>
        <w:t xml:space="preserve">Funding is currently allocated </w:t>
      </w:r>
      <w:proofErr w:type="gramStart"/>
      <w:r w:rsidRPr="000A23F1">
        <w:rPr>
          <w:rFonts w:cstheme="minorHAnsi"/>
          <w:color w:val="000000"/>
        </w:rPr>
        <w:t>for :</w:t>
      </w:r>
      <w:proofErr w:type="gramEnd"/>
      <w:r w:rsidRPr="000A23F1">
        <w:rPr>
          <w:rFonts w:cstheme="minorHAnsi"/>
          <w:color w:val="000000"/>
        </w:rPr>
        <w:t>-</w:t>
      </w:r>
    </w:p>
    <w:p w:rsidR="008D588B" w:rsidRPr="000A23F1" w:rsidRDefault="008D588B" w:rsidP="00B02FFA">
      <w:pPr>
        <w:pStyle w:val="ListParagraph"/>
        <w:numPr>
          <w:ilvl w:val="0"/>
          <w:numId w:val="16"/>
        </w:numPr>
        <w:autoSpaceDE w:val="0"/>
        <w:autoSpaceDN w:val="0"/>
        <w:adjustRightInd w:val="0"/>
        <w:spacing w:after="60" w:line="240" w:lineRule="auto"/>
        <w:rPr>
          <w:rFonts w:cstheme="minorHAnsi"/>
          <w:color w:val="000000"/>
        </w:rPr>
      </w:pPr>
      <w:r w:rsidRPr="000A23F1">
        <w:rPr>
          <w:rFonts w:cstheme="minorHAnsi"/>
          <w:color w:val="000000"/>
        </w:rPr>
        <w:t xml:space="preserve">Pupils eligible for Free School Meals (FSM) </w:t>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665BC7">
        <w:rPr>
          <w:rFonts w:cstheme="minorHAnsi"/>
          <w:color w:val="000000"/>
        </w:rPr>
        <w:tab/>
      </w:r>
      <w:r w:rsidR="002157E8" w:rsidRPr="000A23F1">
        <w:rPr>
          <w:rFonts w:cstheme="minorHAnsi"/>
          <w:b/>
          <w:bCs/>
          <w:color w:val="000000"/>
        </w:rPr>
        <w:t>£1,3</w:t>
      </w:r>
      <w:r w:rsidR="00475B27">
        <w:rPr>
          <w:rFonts w:cstheme="minorHAnsi"/>
          <w:b/>
          <w:bCs/>
          <w:color w:val="000000"/>
        </w:rPr>
        <w:t>45</w:t>
      </w:r>
      <w:r w:rsidRPr="000A23F1">
        <w:rPr>
          <w:rFonts w:cstheme="minorHAnsi"/>
          <w:b/>
          <w:bCs/>
          <w:color w:val="000000"/>
        </w:rPr>
        <w:t xml:space="preserve"> pp </w:t>
      </w:r>
    </w:p>
    <w:p w:rsidR="008D588B" w:rsidRPr="000A23F1" w:rsidRDefault="00DC1EFB" w:rsidP="00B02FFA">
      <w:pPr>
        <w:pStyle w:val="ListParagraph"/>
        <w:numPr>
          <w:ilvl w:val="0"/>
          <w:numId w:val="16"/>
        </w:numPr>
        <w:autoSpaceDE w:val="0"/>
        <w:autoSpaceDN w:val="0"/>
        <w:adjustRightInd w:val="0"/>
        <w:spacing w:after="60" w:line="240" w:lineRule="auto"/>
        <w:rPr>
          <w:rFonts w:cstheme="minorHAnsi"/>
          <w:color w:val="000000"/>
        </w:rPr>
      </w:pPr>
      <w:r w:rsidRPr="000A23F1">
        <w:rPr>
          <w:rFonts w:cstheme="minorHAnsi"/>
          <w:color w:val="000000"/>
        </w:rPr>
        <w:t>Pupils classed as Ever6 (</w:t>
      </w:r>
      <w:r w:rsidR="008D588B" w:rsidRPr="000A23F1">
        <w:rPr>
          <w:rFonts w:cstheme="minorHAnsi"/>
          <w:color w:val="000000"/>
        </w:rPr>
        <w:t xml:space="preserve">eligible for FSM </w:t>
      </w:r>
      <w:r w:rsidR="002A5345" w:rsidRPr="000A23F1">
        <w:rPr>
          <w:rFonts w:cstheme="minorHAnsi"/>
          <w:color w:val="000000"/>
        </w:rPr>
        <w:t xml:space="preserve">at any point </w:t>
      </w:r>
      <w:r w:rsidR="008D588B" w:rsidRPr="000A23F1">
        <w:rPr>
          <w:rFonts w:cstheme="minorHAnsi"/>
          <w:color w:val="000000"/>
        </w:rPr>
        <w:t xml:space="preserve">in the last 6 years) </w:t>
      </w:r>
      <w:r w:rsidR="002A5345" w:rsidRPr="000A23F1">
        <w:rPr>
          <w:rFonts w:cstheme="minorHAnsi"/>
          <w:color w:val="000000"/>
        </w:rPr>
        <w:tab/>
      </w:r>
      <w:r w:rsidR="00665BC7">
        <w:rPr>
          <w:rFonts w:cstheme="minorHAnsi"/>
          <w:color w:val="000000"/>
        </w:rPr>
        <w:tab/>
      </w:r>
      <w:r w:rsidR="002157E8" w:rsidRPr="000A23F1">
        <w:rPr>
          <w:rFonts w:cstheme="minorHAnsi"/>
          <w:b/>
          <w:bCs/>
          <w:color w:val="000000"/>
        </w:rPr>
        <w:t>£1,3</w:t>
      </w:r>
      <w:r w:rsidR="00475B27">
        <w:rPr>
          <w:rFonts w:cstheme="minorHAnsi"/>
          <w:b/>
          <w:bCs/>
          <w:color w:val="000000"/>
        </w:rPr>
        <w:t>45</w:t>
      </w:r>
      <w:r w:rsidR="008D588B" w:rsidRPr="000A23F1">
        <w:rPr>
          <w:rFonts w:cstheme="minorHAnsi"/>
          <w:b/>
          <w:bCs/>
          <w:color w:val="000000"/>
        </w:rPr>
        <w:t xml:space="preserve"> pp </w:t>
      </w:r>
    </w:p>
    <w:p w:rsidR="008D588B" w:rsidRPr="000A23F1" w:rsidRDefault="008D588B" w:rsidP="00B02FFA">
      <w:pPr>
        <w:pStyle w:val="ListParagraph"/>
        <w:numPr>
          <w:ilvl w:val="0"/>
          <w:numId w:val="16"/>
        </w:numPr>
        <w:autoSpaceDE w:val="0"/>
        <w:autoSpaceDN w:val="0"/>
        <w:adjustRightInd w:val="0"/>
        <w:spacing w:after="60" w:line="240" w:lineRule="auto"/>
        <w:rPr>
          <w:rFonts w:cstheme="minorHAnsi"/>
          <w:color w:val="000000"/>
        </w:rPr>
      </w:pPr>
      <w:r w:rsidRPr="000A23F1">
        <w:rPr>
          <w:rFonts w:cstheme="minorHAnsi"/>
          <w:color w:val="000000"/>
        </w:rPr>
        <w:t xml:space="preserve">Pupils </w:t>
      </w:r>
      <w:r w:rsidR="002A5345" w:rsidRPr="000A23F1">
        <w:rPr>
          <w:rFonts w:cstheme="minorHAnsi"/>
          <w:color w:val="000000"/>
        </w:rPr>
        <w:t xml:space="preserve">recorded as being </w:t>
      </w:r>
      <w:r w:rsidRPr="000A23F1">
        <w:rPr>
          <w:rFonts w:cstheme="minorHAnsi"/>
          <w:color w:val="000000"/>
        </w:rPr>
        <w:t xml:space="preserve">of Service Personnel </w:t>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Pr="000A23F1">
        <w:rPr>
          <w:rFonts w:cstheme="minorHAnsi"/>
          <w:b/>
          <w:bCs/>
          <w:color w:val="000000"/>
        </w:rPr>
        <w:t>£</w:t>
      </w:r>
      <w:r w:rsidR="002A5345" w:rsidRPr="000A23F1">
        <w:rPr>
          <w:rFonts w:cstheme="minorHAnsi"/>
          <w:b/>
          <w:bCs/>
          <w:color w:val="000000"/>
        </w:rPr>
        <w:t xml:space="preserve">   </w:t>
      </w:r>
      <w:r w:rsidRPr="000A23F1">
        <w:rPr>
          <w:rFonts w:cstheme="minorHAnsi"/>
          <w:b/>
          <w:bCs/>
          <w:color w:val="000000"/>
        </w:rPr>
        <w:t>300</w:t>
      </w:r>
      <w:r w:rsidR="002A5345" w:rsidRPr="000A23F1">
        <w:rPr>
          <w:rFonts w:cstheme="minorHAnsi"/>
          <w:b/>
          <w:bCs/>
          <w:color w:val="000000"/>
        </w:rPr>
        <w:t xml:space="preserve"> </w:t>
      </w:r>
      <w:r w:rsidRPr="000A23F1">
        <w:rPr>
          <w:rFonts w:cstheme="minorHAnsi"/>
          <w:b/>
          <w:bCs/>
          <w:color w:val="000000"/>
        </w:rPr>
        <w:t xml:space="preserve">pp </w:t>
      </w:r>
    </w:p>
    <w:p w:rsidR="008D588B" w:rsidRPr="000A23F1" w:rsidRDefault="008D588B" w:rsidP="00B02FFA">
      <w:pPr>
        <w:pStyle w:val="ListParagraph"/>
        <w:numPr>
          <w:ilvl w:val="0"/>
          <w:numId w:val="16"/>
        </w:numPr>
        <w:autoSpaceDE w:val="0"/>
        <w:autoSpaceDN w:val="0"/>
        <w:adjustRightInd w:val="0"/>
        <w:spacing w:after="60" w:line="240" w:lineRule="auto"/>
        <w:rPr>
          <w:rFonts w:cstheme="minorHAnsi"/>
          <w:color w:val="000000"/>
        </w:rPr>
      </w:pPr>
      <w:r w:rsidRPr="000A23F1">
        <w:rPr>
          <w:rFonts w:cstheme="minorHAnsi"/>
          <w:color w:val="000000"/>
        </w:rPr>
        <w:t xml:space="preserve">Pupils who have been ‘looked after’ for one day or more </w:t>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Pr="000A23F1">
        <w:rPr>
          <w:rFonts w:cstheme="minorHAnsi"/>
          <w:b/>
          <w:bCs/>
          <w:color w:val="000000"/>
        </w:rPr>
        <w:t>£</w:t>
      </w:r>
      <w:r w:rsidR="00772355">
        <w:rPr>
          <w:rFonts w:cstheme="minorHAnsi"/>
          <w:b/>
          <w:bCs/>
          <w:color w:val="000000"/>
        </w:rPr>
        <w:t>2,345</w:t>
      </w:r>
      <w:r w:rsidR="002A5345" w:rsidRPr="000A23F1">
        <w:rPr>
          <w:rFonts w:cstheme="minorHAnsi"/>
          <w:b/>
          <w:bCs/>
          <w:color w:val="000000"/>
        </w:rPr>
        <w:t xml:space="preserve"> </w:t>
      </w:r>
      <w:r w:rsidRPr="000A23F1">
        <w:rPr>
          <w:rFonts w:cstheme="minorHAnsi"/>
          <w:b/>
          <w:bCs/>
          <w:color w:val="000000"/>
        </w:rPr>
        <w:t xml:space="preserve">pp </w:t>
      </w:r>
    </w:p>
    <w:p w:rsidR="008D588B" w:rsidRPr="000A23F1" w:rsidRDefault="008D588B" w:rsidP="00B02FFA">
      <w:pPr>
        <w:pStyle w:val="ListParagraph"/>
        <w:numPr>
          <w:ilvl w:val="0"/>
          <w:numId w:val="16"/>
        </w:numPr>
        <w:autoSpaceDE w:val="0"/>
        <w:autoSpaceDN w:val="0"/>
        <w:adjustRightInd w:val="0"/>
        <w:spacing w:after="0" w:line="240" w:lineRule="auto"/>
        <w:rPr>
          <w:rFonts w:cstheme="minorHAnsi"/>
          <w:color w:val="000000"/>
        </w:rPr>
      </w:pPr>
      <w:r w:rsidRPr="000A23F1">
        <w:rPr>
          <w:rFonts w:cstheme="minorHAnsi"/>
          <w:color w:val="000000"/>
        </w:rPr>
        <w:t xml:space="preserve">Pupils who were adopted from care on or after 30th December 2005 </w:t>
      </w:r>
      <w:r w:rsidR="002A5345" w:rsidRPr="000A23F1">
        <w:rPr>
          <w:rFonts w:cstheme="minorHAnsi"/>
          <w:color w:val="000000"/>
        </w:rPr>
        <w:tab/>
      </w:r>
      <w:r w:rsidR="002A5345" w:rsidRPr="000A23F1">
        <w:rPr>
          <w:rFonts w:cstheme="minorHAnsi"/>
          <w:color w:val="000000"/>
        </w:rPr>
        <w:tab/>
      </w:r>
      <w:r w:rsidRPr="000A23F1">
        <w:rPr>
          <w:rFonts w:cstheme="minorHAnsi"/>
          <w:b/>
          <w:bCs/>
          <w:color w:val="000000"/>
        </w:rPr>
        <w:t>£</w:t>
      </w:r>
      <w:r w:rsidR="00772355">
        <w:rPr>
          <w:rFonts w:cstheme="minorHAnsi"/>
          <w:b/>
          <w:bCs/>
          <w:color w:val="000000"/>
        </w:rPr>
        <w:t>2,345</w:t>
      </w:r>
      <w:r w:rsidR="002A5345" w:rsidRPr="000A23F1">
        <w:rPr>
          <w:rFonts w:cstheme="minorHAnsi"/>
          <w:b/>
          <w:bCs/>
          <w:color w:val="000000"/>
        </w:rPr>
        <w:t xml:space="preserve"> </w:t>
      </w:r>
      <w:r w:rsidRPr="000A23F1">
        <w:rPr>
          <w:rFonts w:cstheme="minorHAnsi"/>
          <w:b/>
          <w:bCs/>
          <w:color w:val="000000"/>
        </w:rPr>
        <w:t xml:space="preserve">pp </w:t>
      </w:r>
    </w:p>
    <w:p w:rsidR="00B02FFA" w:rsidRPr="000A23F1" w:rsidRDefault="00B02FFA" w:rsidP="008D588B">
      <w:pPr>
        <w:autoSpaceDE w:val="0"/>
        <w:autoSpaceDN w:val="0"/>
        <w:adjustRightInd w:val="0"/>
        <w:spacing w:after="0" w:line="240" w:lineRule="auto"/>
        <w:rPr>
          <w:rFonts w:cstheme="minorHAnsi"/>
          <w:b/>
          <w:bCs/>
          <w:color w:val="000000"/>
          <w:highlight w:val="yellow"/>
        </w:rPr>
      </w:pPr>
    </w:p>
    <w:p w:rsidR="002157E8" w:rsidRPr="000A23F1" w:rsidRDefault="002157E8" w:rsidP="00BB783E">
      <w:pPr>
        <w:autoSpaceDE w:val="0"/>
        <w:autoSpaceDN w:val="0"/>
        <w:adjustRightInd w:val="0"/>
        <w:spacing w:after="0" w:line="240" w:lineRule="auto"/>
        <w:rPr>
          <w:rFonts w:cstheme="minorHAnsi"/>
          <w:b/>
          <w:color w:val="000000"/>
          <w:sz w:val="24"/>
          <w:szCs w:val="24"/>
          <w:u w:val="single"/>
        </w:rPr>
      </w:pPr>
      <w:r w:rsidRPr="000A23F1">
        <w:rPr>
          <w:rFonts w:cstheme="minorHAnsi"/>
          <w:b/>
          <w:color w:val="000000"/>
          <w:sz w:val="24"/>
          <w:szCs w:val="24"/>
          <w:u w:val="single"/>
        </w:rPr>
        <w:t xml:space="preserve">How much PP money </w:t>
      </w:r>
      <w:proofErr w:type="gramStart"/>
      <w:r w:rsidRPr="000A23F1">
        <w:rPr>
          <w:rFonts w:cstheme="minorHAnsi"/>
          <w:b/>
          <w:color w:val="000000"/>
          <w:sz w:val="24"/>
          <w:szCs w:val="24"/>
          <w:u w:val="single"/>
        </w:rPr>
        <w:t>is received</w:t>
      </w:r>
      <w:proofErr w:type="gramEnd"/>
      <w:r w:rsidRPr="000A23F1">
        <w:rPr>
          <w:rFonts w:cstheme="minorHAnsi"/>
          <w:b/>
          <w:color w:val="000000"/>
          <w:sz w:val="24"/>
          <w:szCs w:val="24"/>
          <w:u w:val="single"/>
        </w:rPr>
        <w:t xml:space="preserve"> at </w:t>
      </w:r>
      <w:proofErr w:type="spellStart"/>
      <w:r w:rsidRPr="000A23F1">
        <w:rPr>
          <w:rFonts w:cstheme="minorHAnsi"/>
          <w:b/>
          <w:color w:val="000000"/>
          <w:sz w:val="24"/>
          <w:szCs w:val="24"/>
          <w:u w:val="single"/>
        </w:rPr>
        <w:t>Winford</w:t>
      </w:r>
      <w:proofErr w:type="spellEnd"/>
      <w:r w:rsidRPr="000A23F1">
        <w:rPr>
          <w:rFonts w:cstheme="minorHAnsi"/>
          <w:b/>
          <w:color w:val="000000"/>
          <w:sz w:val="24"/>
          <w:szCs w:val="24"/>
          <w:u w:val="single"/>
        </w:rPr>
        <w:t>?</w:t>
      </w:r>
    </w:p>
    <w:p w:rsidR="002157E8" w:rsidRPr="000A23F1" w:rsidRDefault="002157E8" w:rsidP="00BB783E">
      <w:pPr>
        <w:autoSpaceDE w:val="0"/>
        <w:autoSpaceDN w:val="0"/>
        <w:adjustRightInd w:val="0"/>
        <w:spacing w:after="0" w:line="240" w:lineRule="auto"/>
        <w:rPr>
          <w:rFonts w:cstheme="minorHAnsi"/>
          <w:b/>
          <w:color w:val="000000"/>
        </w:rPr>
      </w:pPr>
    </w:p>
    <w:p w:rsidR="00BB783E" w:rsidRPr="000A23F1" w:rsidRDefault="00BB783E" w:rsidP="00BB783E">
      <w:pPr>
        <w:autoSpaceDE w:val="0"/>
        <w:autoSpaceDN w:val="0"/>
        <w:adjustRightInd w:val="0"/>
        <w:spacing w:after="0" w:line="240" w:lineRule="auto"/>
        <w:rPr>
          <w:rFonts w:cstheme="minorHAnsi"/>
          <w:b/>
          <w:bCs/>
          <w:color w:val="000000"/>
        </w:rPr>
      </w:pPr>
      <w:r w:rsidRPr="000A23F1">
        <w:rPr>
          <w:rFonts w:cstheme="minorHAnsi"/>
          <w:b/>
          <w:color w:val="000000"/>
        </w:rPr>
        <w:t xml:space="preserve">Pupil Premium allocated at </w:t>
      </w:r>
      <w:proofErr w:type="spellStart"/>
      <w:r w:rsidRPr="000A23F1">
        <w:rPr>
          <w:rFonts w:cstheme="minorHAnsi"/>
          <w:b/>
          <w:color w:val="000000"/>
        </w:rPr>
        <w:t>Winford</w:t>
      </w:r>
      <w:proofErr w:type="spellEnd"/>
      <w:r w:rsidRPr="000A23F1">
        <w:rPr>
          <w:rFonts w:cstheme="minorHAnsi"/>
          <w:b/>
          <w:color w:val="000000"/>
        </w:rPr>
        <w:t xml:space="preserve"> for the </w:t>
      </w:r>
      <w:r w:rsidRPr="000A23F1">
        <w:rPr>
          <w:rFonts w:cstheme="minorHAnsi"/>
          <w:b/>
          <w:color w:val="000000"/>
          <w:u w:val="single"/>
        </w:rPr>
        <w:t xml:space="preserve">financial year April </w:t>
      </w:r>
      <w:r w:rsidR="008A25D1">
        <w:rPr>
          <w:rFonts w:cstheme="minorHAnsi"/>
          <w:b/>
          <w:color w:val="000000"/>
          <w:u w:val="single"/>
        </w:rPr>
        <w:t>2020-21</w:t>
      </w:r>
      <w:r w:rsidR="006B7AEF">
        <w:rPr>
          <w:rFonts w:cstheme="minorHAnsi"/>
          <w:b/>
          <w:color w:val="000000"/>
          <w:u w:val="single"/>
        </w:rPr>
        <w:t xml:space="preserve"> </w:t>
      </w:r>
      <w:r w:rsidR="00403A2C" w:rsidRPr="000A23F1">
        <w:rPr>
          <w:rFonts w:cstheme="minorHAnsi"/>
          <w:b/>
          <w:color w:val="000000"/>
        </w:rPr>
        <w:t>wa</w:t>
      </w:r>
      <w:r w:rsidRPr="000A23F1">
        <w:rPr>
          <w:rFonts w:cstheme="minorHAnsi"/>
          <w:b/>
          <w:color w:val="000000"/>
        </w:rPr>
        <w:t xml:space="preserve">s </w:t>
      </w:r>
      <w:r w:rsidR="0050408A" w:rsidRPr="000A23F1">
        <w:rPr>
          <w:rFonts w:cstheme="minorHAnsi"/>
          <w:b/>
          <w:bCs/>
          <w:color w:val="000000"/>
        </w:rPr>
        <w:t>£</w:t>
      </w:r>
      <w:r w:rsidR="008A25D1">
        <w:rPr>
          <w:rFonts w:cstheme="minorHAnsi"/>
          <w:b/>
          <w:bCs/>
          <w:color w:val="000000"/>
        </w:rPr>
        <w:t>20,063</w:t>
      </w:r>
    </w:p>
    <w:p w:rsidR="003509CD" w:rsidRPr="000A23F1" w:rsidRDefault="003509CD" w:rsidP="008D588B">
      <w:pPr>
        <w:autoSpaceDE w:val="0"/>
        <w:autoSpaceDN w:val="0"/>
        <w:adjustRightInd w:val="0"/>
        <w:spacing w:after="0" w:line="240" w:lineRule="auto"/>
        <w:rPr>
          <w:rFonts w:cstheme="minorHAnsi"/>
          <w:b/>
          <w:bCs/>
          <w:color w:val="000000"/>
          <w:highlight w:val="yellow"/>
        </w:rPr>
      </w:pPr>
    </w:p>
    <w:p w:rsidR="002157E8" w:rsidRPr="000A23F1" w:rsidRDefault="002157E8" w:rsidP="008D588B">
      <w:pPr>
        <w:autoSpaceDE w:val="0"/>
        <w:autoSpaceDN w:val="0"/>
        <w:adjustRightInd w:val="0"/>
        <w:spacing w:after="0" w:line="240" w:lineRule="auto"/>
        <w:rPr>
          <w:rFonts w:cstheme="minorHAnsi"/>
          <w:b/>
          <w:bCs/>
          <w:color w:val="000000"/>
          <w:sz w:val="24"/>
          <w:szCs w:val="24"/>
          <w:u w:val="single"/>
        </w:rPr>
      </w:pPr>
      <w:r w:rsidRPr="000A23F1">
        <w:rPr>
          <w:rFonts w:cstheme="minorHAnsi"/>
          <w:b/>
          <w:bCs/>
          <w:color w:val="000000"/>
          <w:sz w:val="24"/>
          <w:szCs w:val="24"/>
          <w:u w:val="single"/>
        </w:rPr>
        <w:t xml:space="preserve">How </w:t>
      </w:r>
      <w:proofErr w:type="gramStart"/>
      <w:r w:rsidRPr="000A23F1">
        <w:rPr>
          <w:rFonts w:cstheme="minorHAnsi"/>
          <w:b/>
          <w:bCs/>
          <w:color w:val="000000"/>
          <w:sz w:val="24"/>
          <w:szCs w:val="24"/>
          <w:u w:val="single"/>
        </w:rPr>
        <w:t>is the PP money spent</w:t>
      </w:r>
      <w:proofErr w:type="gramEnd"/>
      <w:r w:rsidRPr="000A23F1">
        <w:rPr>
          <w:rFonts w:cstheme="minorHAnsi"/>
          <w:b/>
          <w:bCs/>
          <w:color w:val="000000"/>
          <w:sz w:val="24"/>
          <w:szCs w:val="24"/>
          <w:u w:val="single"/>
        </w:rPr>
        <w:t xml:space="preserve"> at </w:t>
      </w:r>
      <w:proofErr w:type="spellStart"/>
      <w:r w:rsidRPr="000A23F1">
        <w:rPr>
          <w:rFonts w:cstheme="minorHAnsi"/>
          <w:b/>
          <w:bCs/>
          <w:color w:val="000000"/>
          <w:sz w:val="24"/>
          <w:szCs w:val="24"/>
          <w:u w:val="single"/>
        </w:rPr>
        <w:t>Winford</w:t>
      </w:r>
      <w:proofErr w:type="spellEnd"/>
      <w:r w:rsidRPr="000A23F1">
        <w:rPr>
          <w:rFonts w:cstheme="minorHAnsi"/>
          <w:b/>
          <w:bCs/>
          <w:color w:val="000000"/>
          <w:sz w:val="24"/>
          <w:szCs w:val="24"/>
          <w:u w:val="single"/>
        </w:rPr>
        <w:t>?</w:t>
      </w:r>
    </w:p>
    <w:p w:rsidR="002157E8" w:rsidRPr="000A23F1" w:rsidRDefault="002157E8" w:rsidP="008D588B">
      <w:pPr>
        <w:autoSpaceDE w:val="0"/>
        <w:autoSpaceDN w:val="0"/>
        <w:adjustRightInd w:val="0"/>
        <w:spacing w:after="0" w:line="240" w:lineRule="auto"/>
        <w:rPr>
          <w:rFonts w:cstheme="minorHAnsi"/>
          <w:b/>
          <w:bCs/>
          <w:color w:val="000000"/>
          <w:highlight w:val="yellow"/>
        </w:rPr>
      </w:pPr>
    </w:p>
    <w:p w:rsidR="00B02FFA" w:rsidRPr="00DB1FAE" w:rsidRDefault="00B02FFA" w:rsidP="00B02FFA">
      <w:pPr>
        <w:autoSpaceDE w:val="0"/>
        <w:autoSpaceDN w:val="0"/>
        <w:adjustRightInd w:val="0"/>
        <w:spacing w:after="0" w:line="240" w:lineRule="auto"/>
        <w:rPr>
          <w:rFonts w:cstheme="minorHAnsi"/>
          <w:color w:val="000000"/>
          <w:sz w:val="20"/>
        </w:rPr>
      </w:pPr>
      <w:r w:rsidRPr="00DB1FAE">
        <w:rPr>
          <w:rFonts w:cstheme="minorHAnsi"/>
          <w:color w:val="000000"/>
          <w:sz w:val="20"/>
        </w:rPr>
        <w:t>“</w:t>
      </w:r>
      <w:r w:rsidRPr="00DB1FAE">
        <w:rPr>
          <w:rFonts w:cstheme="minorHAnsi"/>
          <w:i/>
          <w:color w:val="000000"/>
          <w:sz w:val="20"/>
        </w:rPr>
        <w:t xml:space="preserve">Schools will have the freedom to spend the Premium, which is additional to the underlying schools budget, in a way they think will best support the raising of attainment </w:t>
      </w:r>
      <w:r w:rsidR="00403A2C" w:rsidRPr="00DB1FAE">
        <w:rPr>
          <w:rFonts w:cstheme="minorHAnsi"/>
          <w:i/>
          <w:color w:val="000000"/>
          <w:sz w:val="20"/>
        </w:rPr>
        <w:t>for the most vulnerable pupils</w:t>
      </w:r>
      <w:r w:rsidR="00403A2C" w:rsidRPr="00DB1FAE">
        <w:rPr>
          <w:rFonts w:cstheme="minorHAnsi"/>
          <w:color w:val="000000"/>
          <w:sz w:val="20"/>
        </w:rPr>
        <w:t>”</w:t>
      </w:r>
      <w:r w:rsidRPr="00DB1FAE">
        <w:rPr>
          <w:rFonts w:cstheme="minorHAnsi"/>
          <w:color w:val="000000"/>
          <w:sz w:val="20"/>
        </w:rPr>
        <w:t>.</w:t>
      </w:r>
      <w:r w:rsidR="00403A2C" w:rsidRPr="00DB1FAE">
        <w:rPr>
          <w:rFonts w:cstheme="minorHAnsi"/>
          <w:color w:val="000000"/>
          <w:sz w:val="20"/>
        </w:rPr>
        <w:t xml:space="preserve"> </w:t>
      </w:r>
      <w:r w:rsidRPr="00DB1FAE">
        <w:rPr>
          <w:rFonts w:cstheme="minorHAnsi"/>
          <w:color w:val="000000"/>
          <w:sz w:val="20"/>
        </w:rPr>
        <w:t xml:space="preserve">(DFE website) </w:t>
      </w:r>
    </w:p>
    <w:p w:rsidR="00DC1EFB" w:rsidRPr="00DB1FAE" w:rsidRDefault="00DC1EFB" w:rsidP="00B02FFA">
      <w:pPr>
        <w:autoSpaceDE w:val="0"/>
        <w:autoSpaceDN w:val="0"/>
        <w:adjustRightInd w:val="0"/>
        <w:spacing w:after="0" w:line="240" w:lineRule="auto"/>
        <w:rPr>
          <w:rFonts w:cstheme="minorHAnsi"/>
          <w:color w:val="000000"/>
          <w:sz w:val="20"/>
        </w:rPr>
      </w:pPr>
    </w:p>
    <w:p w:rsidR="00B02FFA" w:rsidRPr="00DB1FAE" w:rsidRDefault="00B02FFA" w:rsidP="00B02FFA">
      <w:pPr>
        <w:autoSpaceDE w:val="0"/>
        <w:autoSpaceDN w:val="0"/>
        <w:adjustRightInd w:val="0"/>
        <w:spacing w:after="0" w:line="240" w:lineRule="auto"/>
        <w:rPr>
          <w:rFonts w:cstheme="minorHAnsi"/>
          <w:color w:val="000000"/>
          <w:sz w:val="20"/>
        </w:rPr>
      </w:pPr>
      <w:r w:rsidRPr="00DB1FAE">
        <w:rPr>
          <w:rFonts w:cstheme="minorHAnsi"/>
          <w:color w:val="000000"/>
          <w:sz w:val="20"/>
        </w:rPr>
        <w:t xml:space="preserve">Schools are accountable for how they use the additional funding to support pupils from low-income families and the other target groups. New measures have been included in the performance tables/RAISE online that shows the achievement of pupils who attract the Pupil Premium Grant. </w:t>
      </w:r>
    </w:p>
    <w:p w:rsidR="00DC1EFB" w:rsidRPr="00DB1FAE" w:rsidRDefault="00DC1EFB" w:rsidP="00B02FFA">
      <w:pPr>
        <w:autoSpaceDE w:val="0"/>
        <w:autoSpaceDN w:val="0"/>
        <w:adjustRightInd w:val="0"/>
        <w:spacing w:after="0" w:line="240" w:lineRule="auto"/>
        <w:rPr>
          <w:rFonts w:cstheme="minorHAnsi"/>
          <w:color w:val="000000"/>
          <w:sz w:val="20"/>
        </w:rPr>
      </w:pPr>
    </w:p>
    <w:p w:rsidR="002157E8" w:rsidRPr="00DB1FAE" w:rsidRDefault="002157E8" w:rsidP="002157E8">
      <w:pPr>
        <w:spacing w:after="0" w:line="240" w:lineRule="auto"/>
        <w:rPr>
          <w:rFonts w:cstheme="minorHAnsi"/>
          <w:sz w:val="20"/>
        </w:rPr>
      </w:pPr>
      <w:r w:rsidRPr="00DB1FAE">
        <w:rPr>
          <w:rFonts w:cstheme="minorHAnsi"/>
          <w:sz w:val="20"/>
        </w:rPr>
        <w:t xml:space="preserve">At </w:t>
      </w:r>
      <w:proofErr w:type="spellStart"/>
      <w:r w:rsidRPr="00DB1FAE">
        <w:rPr>
          <w:rFonts w:cstheme="minorHAnsi"/>
          <w:sz w:val="20"/>
        </w:rPr>
        <w:t>Winford</w:t>
      </w:r>
      <w:proofErr w:type="spellEnd"/>
      <w:r w:rsidRPr="00DB1FAE">
        <w:rPr>
          <w:rFonts w:cstheme="minorHAnsi"/>
          <w:sz w:val="20"/>
        </w:rPr>
        <w:t xml:space="preserve"> Church of England Primary School, we believe that </w:t>
      </w:r>
      <w:r w:rsidRPr="00DB1FAE">
        <w:rPr>
          <w:rFonts w:cstheme="minorHAnsi"/>
          <w:sz w:val="20"/>
          <w:u w:val="single"/>
        </w:rPr>
        <w:t>all</w:t>
      </w:r>
      <w:r w:rsidRPr="00DB1FAE">
        <w:rPr>
          <w:rFonts w:cstheme="minorHAnsi"/>
          <w:sz w:val="20"/>
        </w:rPr>
        <w:t xml:space="preserve"> children have the right to a quality </w:t>
      </w:r>
      <w:proofErr w:type="gramStart"/>
      <w:r w:rsidRPr="00DB1FAE">
        <w:rPr>
          <w:rFonts w:cstheme="minorHAnsi"/>
          <w:sz w:val="20"/>
        </w:rPr>
        <w:t>education which</w:t>
      </w:r>
      <w:proofErr w:type="gramEnd"/>
      <w:r w:rsidRPr="00DB1FAE">
        <w:rPr>
          <w:rFonts w:cstheme="minorHAnsi"/>
          <w:sz w:val="20"/>
        </w:rPr>
        <w:t xml:space="preserve"> includes a range of experiences. </w:t>
      </w:r>
    </w:p>
    <w:p w:rsidR="002157E8" w:rsidRPr="00DB1FAE" w:rsidRDefault="002157E8" w:rsidP="00B02FFA">
      <w:pPr>
        <w:autoSpaceDE w:val="0"/>
        <w:autoSpaceDN w:val="0"/>
        <w:adjustRightInd w:val="0"/>
        <w:spacing w:after="0" w:line="240" w:lineRule="auto"/>
        <w:rPr>
          <w:rFonts w:cstheme="minorHAnsi"/>
          <w:color w:val="000000"/>
          <w:sz w:val="20"/>
        </w:rPr>
      </w:pPr>
    </w:p>
    <w:p w:rsidR="008D588B" w:rsidRPr="00DB1FAE" w:rsidRDefault="00B02FFA" w:rsidP="00B02FFA">
      <w:pPr>
        <w:autoSpaceDE w:val="0"/>
        <w:autoSpaceDN w:val="0"/>
        <w:adjustRightInd w:val="0"/>
        <w:spacing w:after="0" w:line="240" w:lineRule="auto"/>
        <w:rPr>
          <w:rFonts w:cstheme="minorHAnsi"/>
          <w:color w:val="000000"/>
          <w:sz w:val="20"/>
        </w:rPr>
      </w:pPr>
      <w:r w:rsidRPr="00DB1FAE">
        <w:rPr>
          <w:rFonts w:cstheme="minorHAnsi"/>
          <w:color w:val="000000"/>
          <w:sz w:val="20"/>
        </w:rPr>
        <w:t xml:space="preserve">At </w:t>
      </w:r>
      <w:proofErr w:type="spellStart"/>
      <w:proofErr w:type="gramStart"/>
      <w:r w:rsidR="00DC1EFB" w:rsidRPr="00DB1FAE">
        <w:rPr>
          <w:rFonts w:cstheme="minorHAnsi"/>
          <w:color w:val="000000"/>
          <w:sz w:val="20"/>
        </w:rPr>
        <w:t>Winford</w:t>
      </w:r>
      <w:proofErr w:type="spellEnd"/>
      <w:proofErr w:type="gramEnd"/>
      <w:r w:rsidRPr="00DB1FAE">
        <w:rPr>
          <w:rFonts w:cstheme="minorHAnsi"/>
          <w:color w:val="000000"/>
          <w:sz w:val="20"/>
        </w:rPr>
        <w:t xml:space="preserve"> we support all our pupils. We do this by providing high quality classroom teaching supplemented by interventions to support vulnerable learners as and when required. The School Leadership Team and Board of Governors monitor the impact of all spending and intervention</w:t>
      </w:r>
      <w:r w:rsidR="00DC1EFB" w:rsidRPr="00DB1FAE">
        <w:rPr>
          <w:rFonts w:cstheme="minorHAnsi"/>
          <w:color w:val="000000"/>
          <w:sz w:val="20"/>
        </w:rPr>
        <w:t>s, including the Pupil Premium</w:t>
      </w:r>
      <w:r w:rsidRPr="00DB1FAE">
        <w:rPr>
          <w:rFonts w:cstheme="minorHAnsi"/>
          <w:color w:val="000000"/>
          <w:sz w:val="20"/>
        </w:rPr>
        <w:t>.</w:t>
      </w:r>
    </w:p>
    <w:p w:rsidR="00DC1EFB" w:rsidRPr="00DB1FAE" w:rsidRDefault="00DC1EFB" w:rsidP="00B02FFA">
      <w:pPr>
        <w:autoSpaceDE w:val="0"/>
        <w:autoSpaceDN w:val="0"/>
        <w:adjustRightInd w:val="0"/>
        <w:spacing w:after="0" w:line="240" w:lineRule="auto"/>
        <w:rPr>
          <w:rFonts w:cstheme="minorHAnsi"/>
          <w:sz w:val="20"/>
        </w:rPr>
      </w:pPr>
    </w:p>
    <w:p w:rsidR="008B41DE" w:rsidRPr="00DB1FAE" w:rsidRDefault="008B41DE" w:rsidP="00E54A1E">
      <w:pPr>
        <w:spacing w:after="0" w:line="240" w:lineRule="auto"/>
        <w:rPr>
          <w:rFonts w:cstheme="minorHAnsi"/>
          <w:sz w:val="20"/>
        </w:rPr>
      </w:pPr>
      <w:r w:rsidRPr="00DB1FAE">
        <w:rPr>
          <w:rFonts w:cstheme="minorHAnsi"/>
          <w:sz w:val="20"/>
        </w:rPr>
        <w:t>We are required to publish online information about how we have used the premium.</w:t>
      </w:r>
      <w:r w:rsidR="007659EA" w:rsidRPr="00DB1FAE">
        <w:rPr>
          <w:rFonts w:cstheme="minorHAnsi"/>
          <w:sz w:val="20"/>
        </w:rPr>
        <w:t xml:space="preserve"> In deciding the nature of support, we consider the positive impact it will have on those children and their families who are most in need.</w:t>
      </w:r>
    </w:p>
    <w:p w:rsidR="000F6B14" w:rsidRDefault="000F6B14" w:rsidP="00E54A1E">
      <w:pPr>
        <w:spacing w:after="0" w:line="240" w:lineRule="auto"/>
        <w:rPr>
          <w:rFonts w:cstheme="minorHAnsi"/>
        </w:rPr>
      </w:pPr>
    </w:p>
    <w:tbl>
      <w:tblPr>
        <w:tblStyle w:val="TableGrid"/>
        <w:tblW w:w="0" w:type="auto"/>
        <w:tblLook w:val="04A0" w:firstRow="1" w:lastRow="0" w:firstColumn="1" w:lastColumn="0" w:noHBand="0" w:noVBand="1"/>
      </w:tblPr>
      <w:tblGrid>
        <w:gridCol w:w="5946"/>
        <w:gridCol w:w="4408"/>
        <w:gridCol w:w="4408"/>
      </w:tblGrid>
      <w:tr w:rsidR="000F6B14" w:rsidTr="00DB1FAE">
        <w:trPr>
          <w:trHeight w:val="250"/>
        </w:trPr>
        <w:tc>
          <w:tcPr>
            <w:tcW w:w="14762" w:type="dxa"/>
            <w:gridSpan w:val="3"/>
          </w:tcPr>
          <w:p w:rsidR="000F6B14" w:rsidRPr="005F214D" w:rsidRDefault="000F6B14" w:rsidP="00E54A1E">
            <w:pPr>
              <w:rPr>
                <w:rFonts w:cstheme="minorHAnsi"/>
                <w:b/>
              </w:rPr>
            </w:pPr>
            <w:r w:rsidRPr="005F214D">
              <w:rPr>
                <w:rFonts w:cstheme="minorHAnsi"/>
                <w:b/>
              </w:rPr>
              <w:t>Current Attainment (2018-19 outcomes owing to no statutory tests in 2020 or 2021)</w:t>
            </w:r>
          </w:p>
        </w:tc>
      </w:tr>
      <w:tr w:rsidR="000F6B14" w:rsidTr="00DB1FAE">
        <w:trPr>
          <w:trHeight w:val="250"/>
        </w:trPr>
        <w:tc>
          <w:tcPr>
            <w:tcW w:w="5946" w:type="dxa"/>
            <w:shd w:val="clear" w:color="auto" w:fill="DBE5F1" w:themeFill="accent1" w:themeFillTint="33"/>
          </w:tcPr>
          <w:p w:rsidR="000F6B14" w:rsidRPr="005F214D" w:rsidRDefault="000F6B14" w:rsidP="00E54A1E">
            <w:pPr>
              <w:rPr>
                <w:rFonts w:cstheme="minorHAnsi"/>
                <w:b/>
              </w:rPr>
            </w:pPr>
            <w:r w:rsidRPr="005F214D">
              <w:rPr>
                <w:rFonts w:cstheme="minorHAnsi"/>
                <w:b/>
              </w:rPr>
              <w:t>KS2</w:t>
            </w:r>
            <w:r w:rsidR="005F214D">
              <w:rPr>
                <w:rFonts w:cstheme="minorHAnsi"/>
                <w:b/>
              </w:rPr>
              <w:t xml:space="preserve"> </w:t>
            </w:r>
            <w:r w:rsidR="00704D2E">
              <w:rPr>
                <w:rFonts w:cstheme="minorHAnsi"/>
                <w:b/>
              </w:rPr>
              <w:t>(9</w:t>
            </w:r>
            <w:r w:rsidR="008D27D4">
              <w:rPr>
                <w:rFonts w:cstheme="minorHAnsi"/>
                <w:b/>
              </w:rPr>
              <w:t xml:space="preserve"> pupils)</w:t>
            </w:r>
          </w:p>
        </w:tc>
        <w:tc>
          <w:tcPr>
            <w:tcW w:w="4408" w:type="dxa"/>
            <w:shd w:val="clear" w:color="auto" w:fill="DBE5F1" w:themeFill="accent1" w:themeFillTint="33"/>
          </w:tcPr>
          <w:p w:rsidR="000F6B14" w:rsidRPr="005F214D" w:rsidRDefault="005F214D" w:rsidP="00E54A1E">
            <w:pPr>
              <w:rPr>
                <w:rFonts w:cstheme="minorHAnsi"/>
                <w:b/>
              </w:rPr>
            </w:pPr>
            <w:r w:rsidRPr="005F214D">
              <w:rPr>
                <w:rFonts w:cstheme="minorHAnsi"/>
                <w:b/>
              </w:rPr>
              <w:t>Pupils eligible for PP</w:t>
            </w:r>
            <w:r w:rsidR="008D27D4">
              <w:rPr>
                <w:rFonts w:cstheme="minorHAnsi"/>
                <w:b/>
              </w:rPr>
              <w:t xml:space="preserve"> </w:t>
            </w:r>
          </w:p>
        </w:tc>
        <w:tc>
          <w:tcPr>
            <w:tcW w:w="4408" w:type="dxa"/>
            <w:shd w:val="clear" w:color="auto" w:fill="DBE5F1" w:themeFill="accent1" w:themeFillTint="33"/>
          </w:tcPr>
          <w:p w:rsidR="000F6B14" w:rsidRPr="005F214D" w:rsidRDefault="005F214D" w:rsidP="00E54A1E">
            <w:pPr>
              <w:rPr>
                <w:rFonts w:cstheme="minorHAnsi"/>
                <w:b/>
              </w:rPr>
            </w:pPr>
            <w:r w:rsidRPr="005F214D">
              <w:rPr>
                <w:rFonts w:cstheme="minorHAnsi"/>
                <w:b/>
              </w:rPr>
              <w:t>Pupils not eligible for PP</w:t>
            </w:r>
          </w:p>
        </w:tc>
      </w:tr>
      <w:tr w:rsidR="005F214D" w:rsidTr="00DB1FAE">
        <w:trPr>
          <w:trHeight w:val="261"/>
        </w:trPr>
        <w:tc>
          <w:tcPr>
            <w:tcW w:w="5946" w:type="dxa"/>
          </w:tcPr>
          <w:p w:rsidR="005F214D" w:rsidRPr="005F214D" w:rsidRDefault="005F214D" w:rsidP="00E54A1E">
            <w:pPr>
              <w:rPr>
                <w:rFonts w:cstheme="minorHAnsi"/>
                <w:b/>
              </w:rPr>
            </w:pPr>
            <w:r>
              <w:rPr>
                <w:rFonts w:cstheme="minorHAnsi"/>
                <w:b/>
              </w:rPr>
              <w:t xml:space="preserve">% achieving at least </w:t>
            </w:r>
            <w:proofErr w:type="spellStart"/>
            <w:r>
              <w:rPr>
                <w:rFonts w:cstheme="minorHAnsi"/>
                <w:b/>
              </w:rPr>
              <w:t>exp</w:t>
            </w:r>
            <w:proofErr w:type="spellEnd"/>
            <w:r>
              <w:rPr>
                <w:rFonts w:cstheme="minorHAnsi"/>
                <w:b/>
              </w:rPr>
              <w:t xml:space="preserve"> in R, </w:t>
            </w:r>
            <w:proofErr w:type="spellStart"/>
            <w:r>
              <w:rPr>
                <w:rFonts w:cstheme="minorHAnsi"/>
                <w:b/>
              </w:rPr>
              <w:t>Wr</w:t>
            </w:r>
            <w:proofErr w:type="spellEnd"/>
            <w:r>
              <w:rPr>
                <w:rFonts w:cstheme="minorHAnsi"/>
                <w:b/>
              </w:rPr>
              <w:t xml:space="preserve"> and Ma</w:t>
            </w:r>
          </w:p>
        </w:tc>
        <w:tc>
          <w:tcPr>
            <w:tcW w:w="4408" w:type="dxa"/>
          </w:tcPr>
          <w:p w:rsidR="005F214D" w:rsidRDefault="00704D2E" w:rsidP="00E54A1E">
            <w:pPr>
              <w:rPr>
                <w:rFonts w:cstheme="minorHAnsi"/>
              </w:rPr>
            </w:pPr>
            <w:r>
              <w:rPr>
                <w:rFonts w:cstheme="minorHAnsi"/>
              </w:rPr>
              <w:t>33</w:t>
            </w:r>
            <w:r w:rsidR="005F214D">
              <w:rPr>
                <w:rFonts w:cstheme="minorHAnsi"/>
              </w:rPr>
              <w:t>%</w:t>
            </w:r>
            <w:r w:rsidR="008D27D4">
              <w:rPr>
                <w:rFonts w:cstheme="minorHAnsi"/>
              </w:rPr>
              <w:t xml:space="preserve"> </w:t>
            </w:r>
          </w:p>
        </w:tc>
        <w:tc>
          <w:tcPr>
            <w:tcW w:w="4408" w:type="dxa"/>
          </w:tcPr>
          <w:p w:rsidR="005F214D" w:rsidRDefault="00704D2E" w:rsidP="00E54A1E">
            <w:pPr>
              <w:rPr>
                <w:rFonts w:cstheme="minorHAnsi"/>
              </w:rPr>
            </w:pPr>
            <w:r>
              <w:rPr>
                <w:rFonts w:cstheme="minorHAnsi"/>
              </w:rPr>
              <w:t>66</w:t>
            </w:r>
            <w:r w:rsidR="005F214D">
              <w:rPr>
                <w:rFonts w:cstheme="minorHAnsi"/>
              </w:rPr>
              <w:t>%</w:t>
            </w:r>
          </w:p>
        </w:tc>
      </w:tr>
      <w:tr w:rsidR="005F214D" w:rsidTr="00DB1FAE">
        <w:trPr>
          <w:trHeight w:val="250"/>
        </w:trPr>
        <w:tc>
          <w:tcPr>
            <w:tcW w:w="14762" w:type="dxa"/>
            <w:gridSpan w:val="3"/>
            <w:shd w:val="clear" w:color="auto" w:fill="DBE5F1" w:themeFill="accent1" w:themeFillTint="33"/>
          </w:tcPr>
          <w:p w:rsidR="005F214D" w:rsidRPr="005F214D" w:rsidRDefault="005F214D" w:rsidP="00E54A1E">
            <w:pPr>
              <w:rPr>
                <w:rFonts w:cstheme="minorHAnsi"/>
                <w:b/>
              </w:rPr>
            </w:pPr>
            <w:r w:rsidRPr="005F214D">
              <w:rPr>
                <w:rFonts w:cstheme="minorHAnsi"/>
                <w:b/>
              </w:rPr>
              <w:t>KS1</w:t>
            </w:r>
            <w:r w:rsidR="0021504E">
              <w:rPr>
                <w:rFonts w:cstheme="minorHAnsi"/>
                <w:b/>
              </w:rPr>
              <w:t xml:space="preserve"> (3 </w:t>
            </w:r>
            <w:r w:rsidR="008D27D4">
              <w:rPr>
                <w:rFonts w:cstheme="minorHAnsi"/>
                <w:b/>
              </w:rPr>
              <w:t>pupil</w:t>
            </w:r>
            <w:r w:rsidR="0021504E">
              <w:rPr>
                <w:rFonts w:cstheme="minorHAnsi"/>
                <w:b/>
              </w:rPr>
              <w:t>s</w:t>
            </w:r>
            <w:r w:rsidR="008D27D4">
              <w:rPr>
                <w:rFonts w:cstheme="minorHAnsi"/>
                <w:b/>
              </w:rPr>
              <w:t>)</w:t>
            </w:r>
          </w:p>
        </w:tc>
      </w:tr>
      <w:tr w:rsidR="00641BFC" w:rsidTr="00DB1FAE">
        <w:trPr>
          <w:trHeight w:val="250"/>
        </w:trPr>
        <w:tc>
          <w:tcPr>
            <w:tcW w:w="5946" w:type="dxa"/>
          </w:tcPr>
          <w:p w:rsidR="00641BFC" w:rsidRPr="005F214D" w:rsidRDefault="00641BFC" w:rsidP="00641BFC">
            <w:pPr>
              <w:rPr>
                <w:rFonts w:cstheme="minorHAnsi"/>
                <w:b/>
              </w:rPr>
            </w:pPr>
            <w:r>
              <w:rPr>
                <w:rFonts w:cstheme="minorHAnsi"/>
                <w:b/>
              </w:rPr>
              <w:t xml:space="preserve">% achieving at least </w:t>
            </w:r>
            <w:proofErr w:type="spellStart"/>
            <w:r>
              <w:rPr>
                <w:rFonts w:cstheme="minorHAnsi"/>
                <w:b/>
              </w:rPr>
              <w:t>exp</w:t>
            </w:r>
            <w:proofErr w:type="spellEnd"/>
            <w:r>
              <w:rPr>
                <w:rFonts w:cstheme="minorHAnsi"/>
                <w:b/>
              </w:rPr>
              <w:t xml:space="preserve"> in R, </w:t>
            </w:r>
            <w:proofErr w:type="spellStart"/>
            <w:r>
              <w:rPr>
                <w:rFonts w:cstheme="minorHAnsi"/>
                <w:b/>
              </w:rPr>
              <w:t>Wr</w:t>
            </w:r>
            <w:proofErr w:type="spellEnd"/>
            <w:r>
              <w:rPr>
                <w:rFonts w:cstheme="minorHAnsi"/>
                <w:b/>
              </w:rPr>
              <w:t xml:space="preserve"> and Ma</w:t>
            </w:r>
          </w:p>
        </w:tc>
        <w:tc>
          <w:tcPr>
            <w:tcW w:w="4408" w:type="dxa"/>
          </w:tcPr>
          <w:p w:rsidR="00641BFC" w:rsidRDefault="001569AC" w:rsidP="00641BFC">
            <w:pPr>
              <w:rPr>
                <w:rFonts w:cstheme="minorHAnsi"/>
              </w:rPr>
            </w:pPr>
            <w:r>
              <w:rPr>
                <w:rFonts w:cstheme="minorHAnsi"/>
              </w:rPr>
              <w:t>67</w:t>
            </w:r>
            <w:r w:rsidR="00641BFC">
              <w:rPr>
                <w:rFonts w:cstheme="minorHAnsi"/>
              </w:rPr>
              <w:t>%</w:t>
            </w:r>
          </w:p>
        </w:tc>
        <w:tc>
          <w:tcPr>
            <w:tcW w:w="4408" w:type="dxa"/>
          </w:tcPr>
          <w:p w:rsidR="00641BFC" w:rsidRDefault="00704D2E" w:rsidP="00641BFC">
            <w:pPr>
              <w:rPr>
                <w:rFonts w:cstheme="minorHAnsi"/>
              </w:rPr>
            </w:pPr>
            <w:r>
              <w:rPr>
                <w:rFonts w:cstheme="minorHAnsi"/>
              </w:rPr>
              <w:t>61</w:t>
            </w:r>
            <w:bookmarkStart w:id="0" w:name="_GoBack"/>
            <w:bookmarkEnd w:id="0"/>
            <w:r w:rsidR="00641BFC">
              <w:rPr>
                <w:rFonts w:cstheme="minorHAnsi"/>
              </w:rPr>
              <w:t>%</w:t>
            </w:r>
          </w:p>
        </w:tc>
      </w:tr>
    </w:tbl>
    <w:p w:rsidR="000F6B14" w:rsidRPr="000A23F1" w:rsidRDefault="000F6B14" w:rsidP="00E54A1E">
      <w:pPr>
        <w:spacing w:after="0" w:line="240" w:lineRule="auto"/>
        <w:rPr>
          <w:rFonts w:cstheme="minorHAnsi"/>
        </w:rPr>
      </w:pPr>
    </w:p>
    <w:p w:rsidR="00EC1A89" w:rsidRDefault="00EC1A89" w:rsidP="002157E8">
      <w:pPr>
        <w:autoSpaceDE w:val="0"/>
        <w:autoSpaceDN w:val="0"/>
        <w:adjustRightInd w:val="0"/>
        <w:spacing w:after="0" w:line="240" w:lineRule="auto"/>
        <w:rPr>
          <w:rFonts w:cstheme="minorHAnsi"/>
          <w:b/>
          <w:bCs/>
          <w:color w:val="000000"/>
        </w:rPr>
      </w:pPr>
    </w:p>
    <w:p w:rsidR="002157E8" w:rsidRPr="000A23F1" w:rsidRDefault="002157E8" w:rsidP="002157E8">
      <w:pPr>
        <w:autoSpaceDE w:val="0"/>
        <w:autoSpaceDN w:val="0"/>
        <w:adjustRightInd w:val="0"/>
        <w:spacing w:after="0" w:line="240" w:lineRule="auto"/>
        <w:rPr>
          <w:rFonts w:cstheme="minorHAnsi"/>
          <w:b/>
          <w:bCs/>
          <w:color w:val="000000"/>
        </w:rPr>
      </w:pPr>
      <w:r w:rsidRPr="000A23F1">
        <w:rPr>
          <w:rFonts w:cstheme="minorHAnsi"/>
          <w:b/>
          <w:bCs/>
          <w:color w:val="000000"/>
        </w:rPr>
        <w:t xml:space="preserve">Pupil Premium spending at </w:t>
      </w:r>
      <w:proofErr w:type="spellStart"/>
      <w:r w:rsidRPr="000A23F1">
        <w:rPr>
          <w:rFonts w:cstheme="minorHAnsi"/>
          <w:b/>
          <w:bCs/>
          <w:color w:val="000000"/>
        </w:rPr>
        <w:t>Winford</w:t>
      </w:r>
      <w:proofErr w:type="spellEnd"/>
      <w:r w:rsidRPr="000A23F1">
        <w:rPr>
          <w:rFonts w:cstheme="minorHAnsi"/>
          <w:b/>
          <w:bCs/>
          <w:color w:val="000000"/>
        </w:rPr>
        <w:t xml:space="preserve"> for </w:t>
      </w:r>
      <w:r w:rsidR="00A46C8B">
        <w:rPr>
          <w:rFonts w:cstheme="minorHAnsi"/>
          <w:b/>
          <w:bCs/>
          <w:color w:val="000000"/>
        </w:rPr>
        <w:t>the academic year September 2020-2021</w:t>
      </w:r>
      <w:r w:rsidRPr="000A23F1">
        <w:rPr>
          <w:rFonts w:cstheme="minorHAnsi"/>
          <w:b/>
          <w:bCs/>
          <w:color w:val="000000"/>
        </w:rPr>
        <w:t xml:space="preserve"> is </w:t>
      </w:r>
      <w:r w:rsidR="00123A8B">
        <w:rPr>
          <w:rFonts w:cstheme="minorHAnsi"/>
          <w:b/>
          <w:bCs/>
          <w:color w:val="000000"/>
        </w:rPr>
        <w:t xml:space="preserve">summarised </w:t>
      </w:r>
      <w:r w:rsidRPr="000A23F1">
        <w:rPr>
          <w:rFonts w:cstheme="minorHAnsi"/>
          <w:b/>
          <w:bCs/>
          <w:color w:val="000000"/>
        </w:rPr>
        <w:t xml:space="preserve">as </w:t>
      </w:r>
      <w:proofErr w:type="gramStart"/>
      <w:r w:rsidRPr="000A23F1">
        <w:rPr>
          <w:rFonts w:cstheme="minorHAnsi"/>
          <w:b/>
          <w:bCs/>
          <w:color w:val="000000"/>
        </w:rPr>
        <w:t>follows :</w:t>
      </w:r>
      <w:proofErr w:type="gramEnd"/>
      <w:r w:rsidRPr="000A23F1">
        <w:rPr>
          <w:rFonts w:cstheme="minorHAnsi"/>
          <w:b/>
          <w:bCs/>
          <w:color w:val="000000"/>
        </w:rPr>
        <w:t>-</w:t>
      </w:r>
    </w:p>
    <w:p w:rsidR="000A23F1" w:rsidRPr="000A23F1" w:rsidRDefault="000A23F1" w:rsidP="00E54A1E">
      <w:pPr>
        <w:spacing w:after="0" w:line="240" w:lineRule="auto"/>
        <w:rPr>
          <w:rFonts w:cstheme="minorHAnsi"/>
          <w:sz w:val="24"/>
          <w:szCs w:val="24"/>
        </w:rPr>
      </w:pPr>
    </w:p>
    <w:tbl>
      <w:tblPr>
        <w:tblStyle w:val="TableGrid"/>
        <w:tblW w:w="14743" w:type="dxa"/>
        <w:jc w:val="center"/>
        <w:tblLook w:val="04A0" w:firstRow="1" w:lastRow="0" w:firstColumn="1" w:lastColumn="0" w:noHBand="0" w:noVBand="1"/>
      </w:tblPr>
      <w:tblGrid>
        <w:gridCol w:w="14743"/>
      </w:tblGrid>
      <w:tr w:rsidR="008B41DE" w:rsidRPr="000A23F1" w:rsidTr="00DB1FAE">
        <w:trPr>
          <w:jc w:val="center"/>
        </w:trPr>
        <w:tc>
          <w:tcPr>
            <w:tcW w:w="14743" w:type="dxa"/>
            <w:shd w:val="clear" w:color="auto" w:fill="8DB3E2" w:themeFill="text2" w:themeFillTint="66"/>
          </w:tcPr>
          <w:p w:rsidR="008B41DE" w:rsidRPr="000A23F1" w:rsidRDefault="007659EA" w:rsidP="002157E8">
            <w:pPr>
              <w:rPr>
                <w:rFonts w:cstheme="minorHAnsi"/>
                <w:b/>
                <w:sz w:val="24"/>
                <w:szCs w:val="24"/>
              </w:rPr>
            </w:pPr>
            <w:r w:rsidRPr="000A23F1">
              <w:rPr>
                <w:rFonts w:cstheme="minorHAnsi"/>
                <w:b/>
                <w:sz w:val="24"/>
                <w:szCs w:val="24"/>
              </w:rPr>
              <w:t>Nature of Support</w:t>
            </w:r>
            <w:r w:rsidR="006B3A17" w:rsidRPr="000A23F1">
              <w:rPr>
                <w:rFonts w:cstheme="minorHAnsi"/>
                <w:b/>
                <w:sz w:val="24"/>
                <w:szCs w:val="24"/>
              </w:rPr>
              <w:t xml:space="preserve"> (academic year</w:t>
            </w:r>
            <w:r w:rsidR="00AC3D40" w:rsidRPr="000A23F1">
              <w:rPr>
                <w:rFonts w:cstheme="minorHAnsi"/>
                <w:b/>
                <w:sz w:val="24"/>
                <w:szCs w:val="24"/>
              </w:rPr>
              <w:t xml:space="preserve"> 201</w:t>
            </w:r>
            <w:r w:rsidR="00772355">
              <w:rPr>
                <w:rFonts w:cstheme="minorHAnsi"/>
                <w:b/>
                <w:sz w:val="24"/>
                <w:szCs w:val="24"/>
              </w:rPr>
              <w:t>9-2020</w:t>
            </w:r>
            <w:r w:rsidR="00AC3D40" w:rsidRPr="000A23F1">
              <w:rPr>
                <w:rFonts w:cstheme="minorHAnsi"/>
                <w:b/>
                <w:sz w:val="24"/>
                <w:szCs w:val="24"/>
              </w:rPr>
              <w:t>)</w:t>
            </w:r>
          </w:p>
        </w:tc>
      </w:tr>
      <w:tr w:rsidR="008D27D4" w:rsidRPr="000A23F1" w:rsidTr="00DB1FAE">
        <w:trPr>
          <w:jc w:val="center"/>
        </w:trPr>
        <w:tc>
          <w:tcPr>
            <w:tcW w:w="14743" w:type="dxa"/>
            <w:shd w:val="clear" w:color="auto" w:fill="DBE5F1" w:themeFill="accent1" w:themeFillTint="33"/>
          </w:tcPr>
          <w:p w:rsidR="008D27D4" w:rsidRPr="008D27D4" w:rsidRDefault="008D27D4" w:rsidP="002157E8">
            <w:pPr>
              <w:rPr>
                <w:rFonts w:cstheme="minorHAnsi"/>
                <w:sz w:val="24"/>
                <w:szCs w:val="24"/>
              </w:rPr>
            </w:pPr>
            <w:r w:rsidRPr="008D27D4">
              <w:rPr>
                <w:rFonts w:cstheme="minorHAnsi"/>
                <w:sz w:val="24"/>
                <w:szCs w:val="24"/>
              </w:rPr>
              <w:t xml:space="preserve">Barriers to learning for our children include social and emotional needs as well as academic needs.  </w:t>
            </w:r>
            <w:proofErr w:type="gramStart"/>
            <w:r w:rsidRPr="008D27D4">
              <w:rPr>
                <w:rFonts w:cstheme="minorHAnsi"/>
                <w:sz w:val="24"/>
                <w:szCs w:val="24"/>
              </w:rPr>
              <w:t xml:space="preserve">Social and emotional and academic needs are met by all staff with a special focus from our </w:t>
            </w:r>
            <w:proofErr w:type="spellStart"/>
            <w:r w:rsidRPr="008D27D4">
              <w:rPr>
                <w:rFonts w:cstheme="minorHAnsi"/>
                <w:sz w:val="24"/>
                <w:szCs w:val="24"/>
              </w:rPr>
              <w:t>TAs</w:t>
            </w:r>
            <w:proofErr w:type="gramEnd"/>
            <w:r w:rsidRPr="008D27D4">
              <w:rPr>
                <w:rFonts w:cstheme="minorHAnsi"/>
                <w:sz w:val="24"/>
                <w:szCs w:val="24"/>
              </w:rPr>
              <w:t>.</w:t>
            </w:r>
            <w:proofErr w:type="spellEnd"/>
            <w:r w:rsidRPr="008D27D4">
              <w:rPr>
                <w:rFonts w:cstheme="minorHAnsi"/>
                <w:sz w:val="24"/>
                <w:szCs w:val="24"/>
              </w:rPr>
              <w:t xml:space="preserve">  We also need to ensure equal and fair access to the wider curriculum of the school, which </w:t>
            </w:r>
            <w:proofErr w:type="gramStart"/>
            <w:r w:rsidRPr="008D27D4">
              <w:rPr>
                <w:rFonts w:cstheme="minorHAnsi"/>
                <w:sz w:val="24"/>
                <w:szCs w:val="24"/>
              </w:rPr>
              <w:t>is made</w:t>
            </w:r>
            <w:proofErr w:type="gramEnd"/>
            <w:r w:rsidRPr="008D27D4">
              <w:rPr>
                <w:rFonts w:cstheme="minorHAnsi"/>
                <w:sz w:val="24"/>
                <w:szCs w:val="24"/>
              </w:rPr>
              <w:t xml:space="preserve"> possible by using pupil premium funding.  We are flexible in our pupil premium spending in order to match the needs of all pupils.</w:t>
            </w:r>
          </w:p>
        </w:tc>
      </w:tr>
      <w:tr w:rsidR="007659EA" w:rsidRPr="000A23F1" w:rsidTr="00DB1FAE">
        <w:trPr>
          <w:trHeight w:val="90"/>
          <w:jc w:val="center"/>
        </w:trPr>
        <w:tc>
          <w:tcPr>
            <w:tcW w:w="14743" w:type="dxa"/>
          </w:tcPr>
          <w:p w:rsidR="00F15F95" w:rsidRPr="000A23F1" w:rsidRDefault="007659EA">
            <w:pPr>
              <w:rPr>
                <w:rFonts w:cstheme="minorHAnsi"/>
              </w:rPr>
            </w:pPr>
            <w:r w:rsidRPr="000A23F1">
              <w:rPr>
                <w:rFonts w:cstheme="minorHAnsi"/>
              </w:rPr>
              <w:t xml:space="preserve">The Pupil Premium funding </w:t>
            </w:r>
            <w:r w:rsidR="00E118C5" w:rsidRPr="000A23F1">
              <w:rPr>
                <w:rFonts w:cstheme="minorHAnsi"/>
              </w:rPr>
              <w:t xml:space="preserve">received was </w:t>
            </w:r>
            <w:r w:rsidR="00AC3D40" w:rsidRPr="000A23F1">
              <w:rPr>
                <w:rFonts w:cstheme="minorHAnsi"/>
              </w:rPr>
              <w:t xml:space="preserve">used in the </w:t>
            </w:r>
            <w:r w:rsidR="00E118C5" w:rsidRPr="000A23F1">
              <w:rPr>
                <w:rFonts w:cstheme="minorHAnsi"/>
              </w:rPr>
              <w:t>following ways :-</w:t>
            </w:r>
          </w:p>
          <w:p w:rsidR="00656843" w:rsidRPr="000A23F1" w:rsidRDefault="00656843">
            <w:pPr>
              <w:rPr>
                <w:rFonts w:cstheme="minorHAnsi"/>
              </w:rPr>
            </w:pPr>
          </w:p>
          <w:p w:rsidR="00637AC8" w:rsidRPr="000A23F1" w:rsidRDefault="00637AC8" w:rsidP="00A80FE7">
            <w:pPr>
              <w:rPr>
                <w:rFonts w:cstheme="minorHAnsi"/>
                <w:b/>
              </w:rPr>
            </w:pPr>
            <w:r w:rsidRPr="000A23F1">
              <w:rPr>
                <w:rFonts w:cstheme="minorHAnsi"/>
                <w:b/>
              </w:rPr>
              <w:t>Staffing</w:t>
            </w:r>
            <w:r w:rsidR="002B6D2C">
              <w:rPr>
                <w:rFonts w:cstheme="minorHAnsi"/>
                <w:b/>
              </w:rPr>
              <w:t>:</w:t>
            </w:r>
            <w:r w:rsidR="00E118C5" w:rsidRPr="000A23F1">
              <w:rPr>
                <w:rFonts w:cstheme="minorHAnsi"/>
                <w:b/>
              </w:rPr>
              <w:t xml:space="preserve"> </w:t>
            </w:r>
          </w:p>
          <w:p w:rsidR="008500A5" w:rsidRPr="000A23F1" w:rsidRDefault="00135CF9" w:rsidP="002B6D2C">
            <w:pPr>
              <w:pStyle w:val="ListParagraph"/>
              <w:numPr>
                <w:ilvl w:val="0"/>
                <w:numId w:val="21"/>
              </w:numPr>
              <w:rPr>
                <w:rFonts w:cstheme="minorHAnsi"/>
              </w:rPr>
            </w:pPr>
            <w:r w:rsidRPr="000A23F1">
              <w:rPr>
                <w:rFonts w:cstheme="minorHAnsi"/>
              </w:rPr>
              <w:t>To p</w:t>
            </w:r>
            <w:r w:rsidR="00616EB3" w:rsidRPr="000A23F1">
              <w:rPr>
                <w:rFonts w:cstheme="minorHAnsi"/>
              </w:rPr>
              <w:t>rovi</w:t>
            </w:r>
            <w:r w:rsidRPr="000A23F1">
              <w:rPr>
                <w:rFonts w:cstheme="minorHAnsi"/>
              </w:rPr>
              <w:t xml:space="preserve">de </w:t>
            </w:r>
            <w:r w:rsidR="00637AC8" w:rsidRPr="000A23F1">
              <w:rPr>
                <w:rFonts w:cstheme="minorHAnsi"/>
              </w:rPr>
              <w:t>small group / 1-1</w:t>
            </w:r>
            <w:r w:rsidRPr="000A23F1">
              <w:rPr>
                <w:rFonts w:cstheme="minorHAnsi"/>
              </w:rPr>
              <w:t xml:space="preserve"> </w:t>
            </w:r>
            <w:r w:rsidR="00E92051" w:rsidRPr="000A23F1">
              <w:rPr>
                <w:rFonts w:cstheme="minorHAnsi"/>
              </w:rPr>
              <w:t xml:space="preserve">intervention programmes </w:t>
            </w:r>
            <w:r w:rsidR="008500A5" w:rsidRPr="000A23F1">
              <w:rPr>
                <w:rFonts w:cstheme="minorHAnsi"/>
              </w:rPr>
              <w:t xml:space="preserve">delivered to children who require a boost to their learning in order to </w:t>
            </w:r>
            <w:r w:rsidR="00637AC8" w:rsidRPr="000A23F1">
              <w:rPr>
                <w:rFonts w:cstheme="minorHAnsi"/>
              </w:rPr>
              <w:t>‘close the gap’ and reach their potential</w:t>
            </w:r>
          </w:p>
          <w:p w:rsidR="00637AC8" w:rsidRPr="000A23F1" w:rsidRDefault="00637AC8" w:rsidP="002B6D2C">
            <w:pPr>
              <w:pStyle w:val="ListParagraph"/>
              <w:numPr>
                <w:ilvl w:val="0"/>
                <w:numId w:val="21"/>
              </w:numPr>
              <w:rPr>
                <w:rFonts w:cstheme="minorHAnsi"/>
              </w:rPr>
            </w:pPr>
            <w:r w:rsidRPr="000A23F1">
              <w:rPr>
                <w:rFonts w:cstheme="minorHAnsi"/>
              </w:rPr>
              <w:t>To provide small-group / 1-1 support across the curriculum across the school, for both low achieving and high achieving pupils</w:t>
            </w:r>
          </w:p>
          <w:p w:rsidR="00A80FE7" w:rsidRPr="000A23F1" w:rsidRDefault="00135CF9" w:rsidP="002B6D2C">
            <w:pPr>
              <w:pStyle w:val="ListParagraph"/>
              <w:numPr>
                <w:ilvl w:val="0"/>
                <w:numId w:val="21"/>
              </w:numPr>
              <w:rPr>
                <w:rFonts w:cstheme="minorHAnsi"/>
              </w:rPr>
            </w:pPr>
            <w:r w:rsidRPr="000A23F1">
              <w:rPr>
                <w:rFonts w:cstheme="minorHAnsi"/>
              </w:rPr>
              <w:t>To increase staff awareness of effective provision to support PP</w:t>
            </w:r>
          </w:p>
          <w:p w:rsidR="004A75D8" w:rsidRPr="000A23F1" w:rsidRDefault="004A75D8" w:rsidP="00A80FE7">
            <w:pPr>
              <w:rPr>
                <w:rFonts w:cstheme="minorHAnsi"/>
              </w:rPr>
            </w:pPr>
          </w:p>
          <w:p w:rsidR="00AE4097" w:rsidRPr="000A23F1" w:rsidRDefault="006B3A17" w:rsidP="007005C6">
            <w:pPr>
              <w:rPr>
                <w:rFonts w:cstheme="minorHAnsi"/>
              </w:rPr>
            </w:pPr>
            <w:r w:rsidRPr="000A23F1">
              <w:rPr>
                <w:rFonts w:cstheme="minorHAnsi"/>
                <w:b/>
              </w:rPr>
              <w:t>Resources</w:t>
            </w:r>
            <w:r w:rsidR="00E118C5" w:rsidRPr="000A23F1">
              <w:rPr>
                <w:rFonts w:cstheme="minorHAnsi"/>
                <w:b/>
              </w:rPr>
              <w:t xml:space="preserve"> </w:t>
            </w:r>
            <w:r w:rsidR="00135CF9" w:rsidRPr="000A23F1">
              <w:rPr>
                <w:rFonts w:cstheme="minorHAnsi"/>
              </w:rPr>
              <w:t>To p</w:t>
            </w:r>
            <w:r w:rsidRPr="000A23F1">
              <w:rPr>
                <w:rFonts w:cstheme="minorHAnsi"/>
              </w:rPr>
              <w:t>rovid</w:t>
            </w:r>
            <w:r w:rsidR="00135CF9" w:rsidRPr="000A23F1">
              <w:rPr>
                <w:rFonts w:cstheme="minorHAnsi"/>
              </w:rPr>
              <w:t>e</w:t>
            </w:r>
            <w:r w:rsidRPr="000A23F1">
              <w:rPr>
                <w:rFonts w:cstheme="minorHAnsi"/>
              </w:rPr>
              <w:t xml:space="preserve"> specialised resources </w:t>
            </w:r>
            <w:r w:rsidR="00F51A9E" w:rsidRPr="000A23F1">
              <w:rPr>
                <w:rFonts w:cstheme="minorHAnsi"/>
              </w:rPr>
              <w:t>aimed at supporting progre</w:t>
            </w:r>
            <w:r w:rsidR="00E118C5" w:rsidRPr="000A23F1">
              <w:rPr>
                <w:rFonts w:cstheme="minorHAnsi"/>
              </w:rPr>
              <w:t>ss in Reading</w:t>
            </w:r>
          </w:p>
          <w:p w:rsidR="004A75D8" w:rsidRPr="000A23F1" w:rsidRDefault="004A75D8" w:rsidP="00A80FE7">
            <w:pPr>
              <w:rPr>
                <w:rFonts w:cstheme="minorHAnsi"/>
              </w:rPr>
            </w:pPr>
          </w:p>
          <w:p w:rsidR="006B3A17" w:rsidRPr="000A23F1" w:rsidRDefault="006B3A17" w:rsidP="00A80FE7">
            <w:pPr>
              <w:rPr>
                <w:rFonts w:cstheme="minorHAnsi"/>
                <w:b/>
              </w:rPr>
            </w:pPr>
            <w:r w:rsidRPr="000A23F1">
              <w:rPr>
                <w:rFonts w:cstheme="minorHAnsi"/>
                <w:b/>
              </w:rPr>
              <w:t>Enrichment</w:t>
            </w:r>
            <w:r w:rsidR="002B6D2C">
              <w:rPr>
                <w:rFonts w:cstheme="minorHAnsi"/>
                <w:b/>
              </w:rPr>
              <w:t>:</w:t>
            </w:r>
          </w:p>
          <w:p w:rsidR="00135CF9" w:rsidRPr="000A23F1" w:rsidRDefault="00135CF9" w:rsidP="002B6D2C">
            <w:pPr>
              <w:pStyle w:val="ListParagraph"/>
              <w:numPr>
                <w:ilvl w:val="0"/>
                <w:numId w:val="21"/>
              </w:numPr>
              <w:rPr>
                <w:rFonts w:cstheme="minorHAnsi"/>
              </w:rPr>
            </w:pPr>
            <w:r w:rsidRPr="000A23F1">
              <w:rPr>
                <w:rFonts w:cstheme="minorHAnsi"/>
              </w:rPr>
              <w:t xml:space="preserve">To </w:t>
            </w:r>
            <w:r w:rsidR="00E118C5" w:rsidRPr="000A23F1">
              <w:rPr>
                <w:rFonts w:cstheme="minorHAnsi"/>
              </w:rPr>
              <w:t>supp</w:t>
            </w:r>
            <w:r w:rsidR="006B3A17" w:rsidRPr="000A23F1">
              <w:rPr>
                <w:rFonts w:cstheme="minorHAnsi"/>
              </w:rPr>
              <w:t xml:space="preserve">ort </w:t>
            </w:r>
            <w:r w:rsidRPr="000A23F1">
              <w:rPr>
                <w:rFonts w:cstheme="minorHAnsi"/>
              </w:rPr>
              <w:t xml:space="preserve">parents </w:t>
            </w:r>
            <w:r w:rsidR="006B3A17" w:rsidRPr="000A23F1">
              <w:rPr>
                <w:rFonts w:cstheme="minorHAnsi"/>
              </w:rPr>
              <w:t xml:space="preserve">with the cost </w:t>
            </w:r>
            <w:r w:rsidR="00E118C5" w:rsidRPr="000A23F1">
              <w:rPr>
                <w:rFonts w:cstheme="minorHAnsi"/>
              </w:rPr>
              <w:t>of</w:t>
            </w:r>
            <w:r w:rsidR="007005C6">
              <w:rPr>
                <w:rFonts w:cstheme="minorHAnsi"/>
              </w:rPr>
              <w:t xml:space="preserve"> en</w:t>
            </w:r>
            <w:r w:rsidR="00E118C5" w:rsidRPr="000A23F1">
              <w:rPr>
                <w:rFonts w:cstheme="minorHAnsi"/>
              </w:rPr>
              <w:t>rich</w:t>
            </w:r>
            <w:r w:rsidR="007005C6">
              <w:rPr>
                <w:rFonts w:cstheme="minorHAnsi"/>
              </w:rPr>
              <w:t>ment</w:t>
            </w:r>
            <w:r w:rsidR="00E118C5" w:rsidRPr="000A23F1">
              <w:rPr>
                <w:rFonts w:cstheme="minorHAnsi"/>
              </w:rPr>
              <w:t xml:space="preserve"> experiences beyond the curriculum (</w:t>
            </w:r>
            <w:r w:rsidR="006B3A17" w:rsidRPr="000A23F1">
              <w:rPr>
                <w:rFonts w:cstheme="minorHAnsi"/>
              </w:rPr>
              <w:t>residential visits / school trips / music lessons / swimming lessons</w:t>
            </w:r>
            <w:r w:rsidR="00E118C5" w:rsidRPr="000A23F1">
              <w:rPr>
                <w:rFonts w:cstheme="minorHAnsi"/>
              </w:rPr>
              <w:t>)</w:t>
            </w:r>
          </w:p>
          <w:p w:rsidR="00D01041" w:rsidRDefault="00B0752F" w:rsidP="002B6D2C">
            <w:pPr>
              <w:pStyle w:val="ListParagraph"/>
              <w:numPr>
                <w:ilvl w:val="0"/>
                <w:numId w:val="21"/>
              </w:numPr>
              <w:rPr>
                <w:rFonts w:cstheme="minorHAnsi"/>
              </w:rPr>
            </w:pPr>
            <w:r w:rsidRPr="000A23F1">
              <w:rPr>
                <w:rFonts w:cstheme="minorHAnsi"/>
              </w:rPr>
              <w:t xml:space="preserve">To </w:t>
            </w:r>
            <w:r w:rsidR="00E118C5" w:rsidRPr="000A23F1">
              <w:rPr>
                <w:rFonts w:cstheme="minorHAnsi"/>
              </w:rPr>
              <w:t>support parents with the cost of</w:t>
            </w:r>
            <w:r w:rsidRPr="000A23F1">
              <w:rPr>
                <w:rFonts w:cstheme="minorHAnsi"/>
              </w:rPr>
              <w:t xml:space="preserve"> e</w:t>
            </w:r>
            <w:r w:rsidR="00D01041" w:rsidRPr="000A23F1">
              <w:rPr>
                <w:rFonts w:cstheme="minorHAnsi"/>
              </w:rPr>
              <w:t>xtended schools provision</w:t>
            </w:r>
            <w:r w:rsidR="00147795">
              <w:rPr>
                <w:rFonts w:cstheme="minorHAnsi"/>
              </w:rPr>
              <w:t xml:space="preserve"> where appropriate</w:t>
            </w:r>
            <w:r w:rsidR="00D01041" w:rsidRPr="000A23F1">
              <w:rPr>
                <w:rFonts w:cstheme="minorHAnsi"/>
              </w:rPr>
              <w:t xml:space="preserve"> (breakfast club / after school club)</w:t>
            </w:r>
            <w:r w:rsidR="00147795">
              <w:rPr>
                <w:rFonts w:cstheme="minorHAnsi"/>
              </w:rPr>
              <w:t>.</w:t>
            </w:r>
          </w:p>
          <w:p w:rsidR="002B6D2C" w:rsidRDefault="002B6D2C" w:rsidP="002B6D2C">
            <w:pPr>
              <w:rPr>
                <w:rFonts w:cstheme="minorHAnsi"/>
              </w:rPr>
            </w:pPr>
          </w:p>
          <w:p w:rsidR="002B6D2C" w:rsidRDefault="002B6D2C" w:rsidP="002B6D2C">
            <w:pPr>
              <w:rPr>
                <w:rFonts w:cstheme="minorHAnsi"/>
              </w:rPr>
            </w:pPr>
            <w:r w:rsidRPr="002B6D2C">
              <w:rPr>
                <w:rFonts w:cstheme="minorHAnsi"/>
                <w:b/>
              </w:rPr>
              <w:t>School Dog:</w:t>
            </w:r>
            <w:r>
              <w:rPr>
                <w:rFonts w:cstheme="minorHAnsi"/>
              </w:rPr>
              <w:t xml:space="preserve">  </w:t>
            </w:r>
          </w:p>
          <w:p w:rsidR="002B6D2C" w:rsidRPr="000A23F1" w:rsidRDefault="002B6D2C" w:rsidP="002B6D2C">
            <w:pPr>
              <w:pStyle w:val="ListParagraph"/>
              <w:numPr>
                <w:ilvl w:val="0"/>
                <w:numId w:val="21"/>
              </w:numPr>
              <w:rPr>
                <w:rFonts w:cstheme="minorHAnsi"/>
              </w:rPr>
            </w:pPr>
            <w:r w:rsidRPr="000A23F1">
              <w:rPr>
                <w:rFonts w:cstheme="minorHAnsi"/>
              </w:rPr>
              <w:t>To provide support for vulnerable children</w:t>
            </w:r>
          </w:p>
          <w:p w:rsidR="002B6D2C" w:rsidRPr="002B6D2C" w:rsidRDefault="002B6D2C" w:rsidP="002B6D2C">
            <w:pPr>
              <w:pStyle w:val="ListParagraph"/>
              <w:numPr>
                <w:ilvl w:val="0"/>
                <w:numId w:val="21"/>
              </w:numPr>
              <w:rPr>
                <w:rFonts w:cstheme="minorHAnsi"/>
              </w:rPr>
            </w:pPr>
            <w:r w:rsidRPr="002B6D2C">
              <w:rPr>
                <w:rFonts w:cstheme="minorHAnsi"/>
              </w:rPr>
              <w:t xml:space="preserve">Our school dogs </w:t>
            </w:r>
            <w:proofErr w:type="gramStart"/>
            <w:r w:rsidRPr="002B6D2C">
              <w:rPr>
                <w:rFonts w:cstheme="minorHAnsi"/>
              </w:rPr>
              <w:t>are registered</w:t>
            </w:r>
            <w:proofErr w:type="gramEnd"/>
            <w:r w:rsidRPr="002B6D2C">
              <w:rPr>
                <w:rFonts w:cstheme="minorHAnsi"/>
              </w:rPr>
              <w:t xml:space="preserve"> with the charity Dogs Helping Kids and are used for helping children with their reading, managing their emotions in times of crisis and to teach how to treat and look after pets.  </w:t>
            </w:r>
          </w:p>
          <w:p w:rsidR="00841BF4" w:rsidRPr="000A23F1" w:rsidRDefault="00841BF4" w:rsidP="002B6D2C">
            <w:pPr>
              <w:rPr>
                <w:rFonts w:cstheme="minorHAnsi"/>
                <w:b/>
              </w:rPr>
            </w:pPr>
          </w:p>
        </w:tc>
      </w:tr>
      <w:tr w:rsidR="003D2BE0" w:rsidRPr="000A23F1" w:rsidTr="00DB1FAE">
        <w:trPr>
          <w:jc w:val="center"/>
        </w:trPr>
        <w:tc>
          <w:tcPr>
            <w:tcW w:w="14743" w:type="dxa"/>
            <w:shd w:val="clear" w:color="auto" w:fill="8DB3E2" w:themeFill="text2" w:themeFillTint="66"/>
          </w:tcPr>
          <w:p w:rsidR="003D2BE0" w:rsidRPr="000A23F1" w:rsidRDefault="00835888" w:rsidP="003D2BE0">
            <w:pPr>
              <w:rPr>
                <w:rFonts w:cstheme="minorHAnsi"/>
                <w:b/>
                <w:sz w:val="24"/>
                <w:szCs w:val="24"/>
              </w:rPr>
            </w:pPr>
            <w:r w:rsidRPr="000A23F1">
              <w:rPr>
                <w:rFonts w:cstheme="minorHAnsi"/>
                <w:b/>
                <w:sz w:val="24"/>
                <w:szCs w:val="24"/>
              </w:rPr>
              <w:t>Monitoring of Provision</w:t>
            </w:r>
          </w:p>
        </w:tc>
      </w:tr>
      <w:tr w:rsidR="003D2BE0" w:rsidRPr="000A23F1" w:rsidTr="00DB1FAE">
        <w:trPr>
          <w:trHeight w:val="90"/>
          <w:jc w:val="center"/>
        </w:trPr>
        <w:tc>
          <w:tcPr>
            <w:tcW w:w="14743" w:type="dxa"/>
          </w:tcPr>
          <w:p w:rsidR="003D2BE0" w:rsidRPr="000A23F1" w:rsidRDefault="003D2BE0" w:rsidP="003D2BE0">
            <w:pPr>
              <w:rPr>
                <w:rFonts w:cstheme="minorHAnsi"/>
              </w:rPr>
            </w:pPr>
            <w:r w:rsidRPr="000A23F1">
              <w:rPr>
                <w:rFonts w:cstheme="minorHAnsi"/>
              </w:rPr>
              <w:t xml:space="preserve">The </w:t>
            </w:r>
            <w:r w:rsidR="00656843" w:rsidRPr="000A23F1">
              <w:rPr>
                <w:rFonts w:cstheme="minorHAnsi"/>
              </w:rPr>
              <w:t>effectiveness of Pupil Premium funding is</w:t>
            </w:r>
            <w:r w:rsidR="009B6934" w:rsidRPr="000A23F1">
              <w:rPr>
                <w:rFonts w:cstheme="minorHAnsi"/>
              </w:rPr>
              <w:t xml:space="preserve"> </w:t>
            </w:r>
            <w:r w:rsidRPr="000A23F1">
              <w:rPr>
                <w:rFonts w:cstheme="minorHAnsi"/>
              </w:rPr>
              <w:t>monitored in the following ways:</w:t>
            </w:r>
          </w:p>
          <w:p w:rsidR="00656843" w:rsidRPr="000A23F1" w:rsidRDefault="00656843" w:rsidP="003D2BE0">
            <w:pPr>
              <w:rPr>
                <w:rFonts w:cstheme="minorHAnsi"/>
              </w:rPr>
            </w:pPr>
          </w:p>
          <w:p w:rsidR="003D2BE0" w:rsidRPr="000A23F1" w:rsidRDefault="003D2BE0" w:rsidP="003D2BE0">
            <w:pPr>
              <w:rPr>
                <w:rFonts w:cstheme="minorHAnsi"/>
              </w:rPr>
            </w:pPr>
            <w:r w:rsidRPr="000A23F1">
              <w:rPr>
                <w:rFonts w:cstheme="minorHAnsi"/>
              </w:rPr>
              <w:lastRenderedPageBreak/>
              <w:t>Academic Progress</w:t>
            </w:r>
          </w:p>
          <w:p w:rsidR="003D2BE0" w:rsidRPr="00147795" w:rsidRDefault="00EC1A89" w:rsidP="002200B5">
            <w:pPr>
              <w:pStyle w:val="ListParagraph"/>
              <w:numPr>
                <w:ilvl w:val="0"/>
                <w:numId w:val="1"/>
              </w:numPr>
              <w:rPr>
                <w:rFonts w:cstheme="minorHAnsi"/>
              </w:rPr>
            </w:pPr>
            <w:r w:rsidRPr="00147795">
              <w:rPr>
                <w:rFonts w:cstheme="minorHAnsi"/>
                <w:shd w:val="clear" w:color="auto" w:fill="FFFFFF"/>
              </w:rPr>
              <w:t>The inspection data summary report (</w:t>
            </w:r>
            <w:r w:rsidRPr="00147795">
              <w:rPr>
                <w:rFonts w:cstheme="minorHAnsi"/>
              </w:rPr>
              <w:t xml:space="preserve">IDSR) </w:t>
            </w:r>
          </w:p>
          <w:p w:rsidR="006B3A17" w:rsidRPr="00147795" w:rsidRDefault="006B3A17" w:rsidP="006B3A17">
            <w:pPr>
              <w:pStyle w:val="ListParagraph"/>
              <w:numPr>
                <w:ilvl w:val="0"/>
                <w:numId w:val="1"/>
              </w:numPr>
              <w:rPr>
                <w:rFonts w:cstheme="minorHAnsi"/>
              </w:rPr>
            </w:pPr>
            <w:r w:rsidRPr="00147795">
              <w:rPr>
                <w:rFonts w:cstheme="minorHAnsi"/>
              </w:rPr>
              <w:t>Whole school tracking systems</w:t>
            </w:r>
            <w:r w:rsidR="00147795">
              <w:rPr>
                <w:rFonts w:cstheme="minorHAnsi"/>
              </w:rPr>
              <w:t xml:space="preserve"> (Insight)</w:t>
            </w:r>
          </w:p>
          <w:p w:rsidR="003D2BE0" w:rsidRPr="00147795" w:rsidRDefault="000F6B14" w:rsidP="002200B5">
            <w:pPr>
              <w:pStyle w:val="ListParagraph"/>
              <w:numPr>
                <w:ilvl w:val="0"/>
                <w:numId w:val="1"/>
              </w:numPr>
              <w:rPr>
                <w:rFonts w:cstheme="minorHAnsi"/>
              </w:rPr>
            </w:pPr>
            <w:r>
              <w:rPr>
                <w:rFonts w:cstheme="minorHAnsi"/>
              </w:rPr>
              <w:t>Pupil Progress meetings</w:t>
            </w:r>
          </w:p>
          <w:p w:rsidR="00616EB3" w:rsidRPr="000A23F1" w:rsidRDefault="00616EB3" w:rsidP="00F317B2">
            <w:pPr>
              <w:rPr>
                <w:rFonts w:cstheme="minorHAnsi"/>
              </w:rPr>
            </w:pPr>
          </w:p>
          <w:p w:rsidR="00F317B2" w:rsidRPr="000A23F1" w:rsidRDefault="00F317B2" w:rsidP="00F317B2">
            <w:pPr>
              <w:rPr>
                <w:rFonts w:cstheme="minorHAnsi"/>
              </w:rPr>
            </w:pPr>
            <w:r w:rsidRPr="000A23F1">
              <w:rPr>
                <w:rFonts w:cstheme="minorHAnsi"/>
              </w:rPr>
              <w:t>Emotional/Behavioural Progress</w:t>
            </w:r>
          </w:p>
          <w:p w:rsidR="003D2BE0" w:rsidRPr="000A23F1" w:rsidRDefault="003D2BE0" w:rsidP="002200B5">
            <w:pPr>
              <w:pStyle w:val="ListParagraph"/>
              <w:numPr>
                <w:ilvl w:val="0"/>
                <w:numId w:val="1"/>
              </w:numPr>
              <w:rPr>
                <w:rFonts w:cstheme="minorHAnsi"/>
              </w:rPr>
            </w:pPr>
            <w:r w:rsidRPr="000A23F1">
              <w:rPr>
                <w:rFonts w:cstheme="minorHAnsi"/>
              </w:rPr>
              <w:t>Attendance data</w:t>
            </w:r>
          </w:p>
          <w:p w:rsidR="003D2BE0" w:rsidRPr="000A23F1" w:rsidRDefault="00656843" w:rsidP="00616EB3">
            <w:pPr>
              <w:pStyle w:val="ListParagraph"/>
              <w:numPr>
                <w:ilvl w:val="0"/>
                <w:numId w:val="1"/>
              </w:numPr>
              <w:rPr>
                <w:rFonts w:cstheme="minorHAnsi"/>
              </w:rPr>
            </w:pPr>
            <w:r w:rsidRPr="000A23F1">
              <w:rPr>
                <w:rFonts w:cstheme="minorHAnsi"/>
              </w:rPr>
              <w:t>Behaviour records</w:t>
            </w:r>
          </w:p>
          <w:p w:rsidR="00B0752F" w:rsidRDefault="000F6B14" w:rsidP="000F6B14">
            <w:pPr>
              <w:pStyle w:val="ListParagraph"/>
              <w:numPr>
                <w:ilvl w:val="0"/>
                <w:numId w:val="1"/>
              </w:numPr>
              <w:rPr>
                <w:rFonts w:cstheme="minorHAnsi"/>
              </w:rPr>
            </w:pPr>
            <w:r>
              <w:rPr>
                <w:rFonts w:cstheme="minorHAnsi"/>
              </w:rPr>
              <w:t>Engagement of pupils with the school pastoral support.</w:t>
            </w:r>
          </w:p>
          <w:p w:rsidR="003A683F" w:rsidRDefault="003A683F" w:rsidP="003A683F">
            <w:pPr>
              <w:rPr>
                <w:rFonts w:cstheme="minorHAnsi"/>
              </w:rPr>
            </w:pPr>
          </w:p>
          <w:p w:rsidR="003A683F" w:rsidRPr="003A683F" w:rsidRDefault="003A683F" w:rsidP="003A683F">
            <w:pPr>
              <w:rPr>
                <w:rFonts w:cstheme="minorHAnsi"/>
              </w:rPr>
            </w:pPr>
            <w:r>
              <w:rPr>
                <w:rFonts w:cstheme="minorHAnsi"/>
              </w:rPr>
              <w:t>This year has been a difficult one to monitor owing to school closures and disruption related to covid-19.  However, we were able to offer targeted provision for academic learning and emotional support where it was necessary.  There are no statutory results as a benchmark, but in-school data suggests that there was impact from the provision.</w:t>
            </w:r>
          </w:p>
        </w:tc>
      </w:tr>
    </w:tbl>
    <w:p w:rsidR="00656843" w:rsidRPr="000A23F1" w:rsidRDefault="00656843" w:rsidP="00AE4097">
      <w:pPr>
        <w:spacing w:after="0" w:line="240" w:lineRule="auto"/>
        <w:rPr>
          <w:rFonts w:cstheme="minorHAnsi"/>
          <w:b/>
          <w:sz w:val="24"/>
          <w:szCs w:val="24"/>
        </w:rPr>
      </w:pPr>
    </w:p>
    <w:p w:rsidR="00D01041" w:rsidRDefault="00EC1A89" w:rsidP="00D01041">
      <w:pPr>
        <w:autoSpaceDE w:val="0"/>
        <w:autoSpaceDN w:val="0"/>
        <w:adjustRightInd w:val="0"/>
        <w:spacing w:after="0" w:line="240" w:lineRule="auto"/>
        <w:rPr>
          <w:rFonts w:cstheme="minorHAnsi"/>
          <w:b/>
          <w:bCs/>
          <w:color w:val="000000"/>
          <w:sz w:val="24"/>
        </w:rPr>
      </w:pPr>
      <w:r w:rsidRPr="00DB1FAE">
        <w:rPr>
          <w:rFonts w:cstheme="minorHAnsi"/>
          <w:b/>
          <w:color w:val="000000"/>
          <w:sz w:val="24"/>
        </w:rPr>
        <w:t>Pupil Premium allocation</w:t>
      </w:r>
      <w:r w:rsidR="00D01041" w:rsidRPr="00DB1FAE">
        <w:rPr>
          <w:rFonts w:cstheme="minorHAnsi"/>
          <w:b/>
          <w:color w:val="000000"/>
          <w:sz w:val="24"/>
        </w:rPr>
        <w:t xml:space="preserve"> </w:t>
      </w:r>
      <w:r w:rsidRPr="00DB1FAE">
        <w:rPr>
          <w:rFonts w:cstheme="minorHAnsi"/>
          <w:b/>
          <w:color w:val="000000"/>
          <w:sz w:val="24"/>
          <w:u w:val="single"/>
        </w:rPr>
        <w:t>financial year</w:t>
      </w:r>
      <w:r w:rsidR="00772355" w:rsidRPr="00DB1FAE">
        <w:rPr>
          <w:rFonts w:cstheme="minorHAnsi"/>
          <w:b/>
          <w:color w:val="000000"/>
          <w:sz w:val="24"/>
          <w:u w:val="single"/>
        </w:rPr>
        <w:t xml:space="preserve"> 2021-22</w:t>
      </w:r>
      <w:r w:rsidRPr="00DB1FAE">
        <w:rPr>
          <w:rFonts w:cstheme="minorHAnsi"/>
          <w:b/>
          <w:color w:val="000000"/>
          <w:sz w:val="24"/>
        </w:rPr>
        <w:t xml:space="preserve"> for </w:t>
      </w:r>
      <w:proofErr w:type="spellStart"/>
      <w:r w:rsidRPr="00DB1FAE">
        <w:rPr>
          <w:rFonts w:cstheme="minorHAnsi"/>
          <w:b/>
          <w:color w:val="000000"/>
          <w:sz w:val="24"/>
        </w:rPr>
        <w:t>Winford</w:t>
      </w:r>
      <w:proofErr w:type="spellEnd"/>
      <w:r w:rsidRPr="00DB1FAE">
        <w:rPr>
          <w:rFonts w:cstheme="minorHAnsi"/>
          <w:b/>
          <w:color w:val="000000"/>
          <w:sz w:val="24"/>
        </w:rPr>
        <w:t xml:space="preserve"> </w:t>
      </w:r>
      <w:r w:rsidR="00331FF3" w:rsidRPr="00DB1FAE">
        <w:rPr>
          <w:rFonts w:cstheme="minorHAnsi"/>
          <w:b/>
          <w:color w:val="000000"/>
          <w:sz w:val="24"/>
        </w:rPr>
        <w:t>will be</w:t>
      </w:r>
      <w:r w:rsidR="00D01041" w:rsidRPr="00DB1FAE">
        <w:rPr>
          <w:rFonts w:cstheme="minorHAnsi"/>
          <w:b/>
          <w:color w:val="000000"/>
          <w:sz w:val="24"/>
        </w:rPr>
        <w:t xml:space="preserve"> </w:t>
      </w:r>
      <w:r w:rsidR="00D01041" w:rsidRPr="00DB1FAE">
        <w:rPr>
          <w:rFonts w:cstheme="minorHAnsi"/>
          <w:b/>
          <w:bCs/>
          <w:color w:val="000000"/>
          <w:sz w:val="24"/>
        </w:rPr>
        <w:t>£</w:t>
      </w:r>
      <w:r w:rsidR="00331FF3" w:rsidRPr="00DB1FAE">
        <w:rPr>
          <w:rFonts w:cstheme="minorHAnsi"/>
          <w:b/>
          <w:bCs/>
          <w:color w:val="000000"/>
          <w:sz w:val="24"/>
        </w:rPr>
        <w:t>18,830</w:t>
      </w:r>
    </w:p>
    <w:p w:rsidR="00B509D9" w:rsidRDefault="00DB1FAE" w:rsidP="00B509D9">
      <w:pPr>
        <w:autoSpaceDE w:val="0"/>
        <w:autoSpaceDN w:val="0"/>
        <w:adjustRightInd w:val="0"/>
        <w:spacing w:after="0" w:line="240" w:lineRule="auto"/>
        <w:rPr>
          <w:rFonts w:cstheme="minorHAnsi"/>
          <w:bCs/>
          <w:color w:val="000000"/>
          <w:sz w:val="24"/>
        </w:rPr>
      </w:pPr>
      <w:r>
        <w:rPr>
          <w:rFonts w:cstheme="minorHAnsi"/>
          <w:b/>
          <w:bCs/>
          <w:color w:val="000000"/>
          <w:sz w:val="24"/>
        </w:rPr>
        <w:t xml:space="preserve">In-school areas to focus on </w:t>
      </w:r>
      <w:proofErr w:type="gramStart"/>
      <w:r>
        <w:rPr>
          <w:rFonts w:cstheme="minorHAnsi"/>
          <w:b/>
          <w:bCs/>
          <w:color w:val="000000"/>
          <w:sz w:val="24"/>
        </w:rPr>
        <w:t>include:</w:t>
      </w:r>
      <w:proofErr w:type="gramEnd"/>
      <w:r>
        <w:rPr>
          <w:rFonts w:cstheme="minorHAnsi"/>
          <w:b/>
          <w:bCs/>
          <w:color w:val="000000"/>
          <w:sz w:val="24"/>
        </w:rPr>
        <w:t>-</w:t>
      </w:r>
      <w:r w:rsidR="00A46C8B">
        <w:rPr>
          <w:rFonts w:cstheme="minorHAnsi"/>
          <w:b/>
          <w:bCs/>
          <w:color w:val="000000"/>
          <w:sz w:val="24"/>
        </w:rPr>
        <w:t xml:space="preserve"> </w:t>
      </w:r>
    </w:p>
    <w:p w:rsidR="00DB1FAE" w:rsidRPr="00B509D9" w:rsidRDefault="00DB1FAE" w:rsidP="00B509D9">
      <w:pPr>
        <w:pStyle w:val="ListParagraph"/>
        <w:numPr>
          <w:ilvl w:val="0"/>
          <w:numId w:val="22"/>
        </w:numPr>
        <w:autoSpaceDE w:val="0"/>
        <w:autoSpaceDN w:val="0"/>
        <w:adjustRightInd w:val="0"/>
        <w:spacing w:after="0" w:line="240" w:lineRule="auto"/>
        <w:rPr>
          <w:rFonts w:cstheme="minorHAnsi"/>
          <w:bCs/>
          <w:color w:val="000000"/>
          <w:sz w:val="24"/>
        </w:rPr>
      </w:pPr>
      <w:r w:rsidRPr="00B509D9">
        <w:rPr>
          <w:rFonts w:cstheme="minorHAnsi"/>
          <w:bCs/>
          <w:color w:val="000000"/>
          <w:sz w:val="24"/>
        </w:rPr>
        <w:t>Supporting academic learning in reading, writing and maths</w:t>
      </w:r>
    </w:p>
    <w:p w:rsidR="00DB1FAE" w:rsidRPr="00DB1FAE" w:rsidRDefault="00DB1FAE" w:rsidP="00DB1FAE">
      <w:pPr>
        <w:pStyle w:val="ListParagraph"/>
        <w:numPr>
          <w:ilvl w:val="0"/>
          <w:numId w:val="22"/>
        </w:numPr>
        <w:autoSpaceDE w:val="0"/>
        <w:autoSpaceDN w:val="0"/>
        <w:adjustRightInd w:val="0"/>
        <w:spacing w:after="0" w:line="240" w:lineRule="auto"/>
        <w:rPr>
          <w:rFonts w:cstheme="minorHAnsi"/>
          <w:bCs/>
          <w:color w:val="000000"/>
          <w:sz w:val="24"/>
        </w:rPr>
      </w:pPr>
      <w:r w:rsidRPr="00DB1FAE">
        <w:rPr>
          <w:rFonts w:cstheme="minorHAnsi"/>
          <w:bCs/>
          <w:color w:val="000000"/>
          <w:sz w:val="24"/>
        </w:rPr>
        <w:t>Supporting the development of social and emotional skills</w:t>
      </w:r>
    </w:p>
    <w:p w:rsidR="00DB1FAE" w:rsidRDefault="00DB1FAE" w:rsidP="00DB1FAE">
      <w:pPr>
        <w:pStyle w:val="ListParagraph"/>
        <w:numPr>
          <w:ilvl w:val="0"/>
          <w:numId w:val="22"/>
        </w:numPr>
        <w:autoSpaceDE w:val="0"/>
        <w:autoSpaceDN w:val="0"/>
        <w:adjustRightInd w:val="0"/>
        <w:spacing w:after="0" w:line="240" w:lineRule="auto"/>
        <w:rPr>
          <w:rFonts w:cstheme="minorHAnsi"/>
          <w:bCs/>
          <w:color w:val="000000"/>
          <w:sz w:val="24"/>
        </w:rPr>
      </w:pPr>
      <w:r w:rsidRPr="00DB1FAE">
        <w:rPr>
          <w:rFonts w:cstheme="minorHAnsi"/>
          <w:bCs/>
          <w:color w:val="000000"/>
          <w:sz w:val="24"/>
        </w:rPr>
        <w:t>Supporting financially wider opportunities where appropriate.</w:t>
      </w:r>
    </w:p>
    <w:p w:rsidR="00DB1FAE" w:rsidRDefault="00DB1FAE" w:rsidP="00DB1FAE">
      <w:pPr>
        <w:pStyle w:val="ListParagraph"/>
        <w:autoSpaceDE w:val="0"/>
        <w:autoSpaceDN w:val="0"/>
        <w:adjustRightInd w:val="0"/>
        <w:spacing w:after="0" w:line="240" w:lineRule="auto"/>
        <w:rPr>
          <w:rFonts w:cstheme="minorHAnsi"/>
          <w:bCs/>
          <w:color w:val="000000"/>
          <w:sz w:val="24"/>
        </w:rPr>
      </w:pPr>
    </w:p>
    <w:tbl>
      <w:tblPr>
        <w:tblStyle w:val="TableGrid"/>
        <w:tblW w:w="0" w:type="auto"/>
        <w:tblInd w:w="137" w:type="dxa"/>
        <w:tblLook w:val="04A0" w:firstRow="1" w:lastRow="0" w:firstColumn="1" w:lastColumn="0" w:noHBand="0" w:noVBand="1"/>
      </w:tblPr>
      <w:tblGrid>
        <w:gridCol w:w="1985"/>
        <w:gridCol w:w="1842"/>
        <w:gridCol w:w="2127"/>
        <w:gridCol w:w="3309"/>
        <w:gridCol w:w="3310"/>
        <w:gridCol w:w="2416"/>
      </w:tblGrid>
      <w:tr w:rsidR="00DB1FAE" w:rsidTr="003B3646">
        <w:tc>
          <w:tcPr>
            <w:tcW w:w="1985"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Pupil Premium activity</w:t>
            </w:r>
          </w:p>
        </w:tc>
        <w:tc>
          <w:tcPr>
            <w:tcW w:w="1842"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proofErr w:type="spellStart"/>
            <w:r w:rsidRPr="00DB1FAE">
              <w:rPr>
                <w:rFonts w:cstheme="minorHAnsi"/>
                <w:b/>
                <w:bCs/>
                <w:color w:val="000000"/>
                <w:sz w:val="24"/>
              </w:rPr>
              <w:t>Approx</w:t>
            </w:r>
            <w:proofErr w:type="spellEnd"/>
            <w:r w:rsidRPr="00DB1FAE">
              <w:rPr>
                <w:rFonts w:cstheme="minorHAnsi"/>
                <w:b/>
                <w:bCs/>
                <w:color w:val="000000"/>
                <w:sz w:val="24"/>
              </w:rPr>
              <w:t xml:space="preserve"> % of use</w:t>
            </w:r>
          </w:p>
        </w:tc>
        <w:tc>
          <w:tcPr>
            <w:tcW w:w="2127"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New or continued activity?</w:t>
            </w:r>
          </w:p>
        </w:tc>
        <w:tc>
          <w:tcPr>
            <w:tcW w:w="3309"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Brief summary of action</w:t>
            </w:r>
          </w:p>
        </w:tc>
        <w:tc>
          <w:tcPr>
            <w:tcW w:w="3310"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Specific intended outcomes</w:t>
            </w:r>
          </w:p>
        </w:tc>
        <w:tc>
          <w:tcPr>
            <w:tcW w:w="2416"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Monitoring</w:t>
            </w:r>
          </w:p>
        </w:tc>
      </w:tr>
      <w:tr w:rsidR="00DB1FAE" w:rsidTr="003B3646">
        <w:tc>
          <w:tcPr>
            <w:tcW w:w="1985" w:type="dxa"/>
          </w:tcPr>
          <w:p w:rsidR="00DB1FAE" w:rsidRPr="003B3646" w:rsidRDefault="003B3646" w:rsidP="00611013">
            <w:pPr>
              <w:pStyle w:val="ListParagraph"/>
              <w:autoSpaceDE w:val="0"/>
              <w:autoSpaceDN w:val="0"/>
              <w:adjustRightInd w:val="0"/>
              <w:ind w:left="0"/>
              <w:jc w:val="center"/>
              <w:rPr>
                <w:rFonts w:cstheme="minorHAnsi"/>
                <w:bCs/>
                <w:color w:val="000000"/>
                <w:sz w:val="20"/>
              </w:rPr>
            </w:pPr>
            <w:r w:rsidRPr="003B3646">
              <w:rPr>
                <w:rFonts w:cstheme="minorHAnsi"/>
                <w:bCs/>
                <w:color w:val="000000"/>
                <w:sz w:val="20"/>
              </w:rPr>
              <w:t>To use teaching assistant support for targeted academic and social and emotional support</w:t>
            </w:r>
          </w:p>
        </w:tc>
        <w:tc>
          <w:tcPr>
            <w:tcW w:w="1842"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87</w:t>
            </w:r>
            <w:r w:rsidR="003B3646">
              <w:rPr>
                <w:rFonts w:cstheme="minorHAnsi"/>
                <w:bCs/>
                <w:color w:val="000000"/>
                <w:sz w:val="20"/>
              </w:rPr>
              <w:t>%</w:t>
            </w:r>
          </w:p>
        </w:tc>
        <w:tc>
          <w:tcPr>
            <w:tcW w:w="2127" w:type="dxa"/>
          </w:tcPr>
          <w:p w:rsidR="00DB1FAE" w:rsidRPr="003B3646" w:rsidRDefault="003B3646" w:rsidP="00611013">
            <w:pPr>
              <w:pStyle w:val="ListParagraph"/>
              <w:autoSpaceDE w:val="0"/>
              <w:autoSpaceDN w:val="0"/>
              <w:adjustRightInd w:val="0"/>
              <w:ind w:left="0"/>
              <w:jc w:val="center"/>
              <w:rPr>
                <w:rFonts w:cstheme="minorHAnsi"/>
                <w:bCs/>
                <w:color w:val="000000"/>
                <w:sz w:val="20"/>
              </w:rPr>
            </w:pPr>
            <w:r w:rsidRPr="003B3646">
              <w:rPr>
                <w:rFonts w:cstheme="minorHAnsi"/>
                <w:bCs/>
                <w:color w:val="000000"/>
                <w:sz w:val="20"/>
              </w:rPr>
              <w:t>Continued</w:t>
            </w:r>
          </w:p>
        </w:tc>
        <w:tc>
          <w:tcPr>
            <w:tcW w:w="3309" w:type="dxa"/>
          </w:tcPr>
          <w:p w:rsidR="00DB1FAE" w:rsidRDefault="003B3646" w:rsidP="00611013">
            <w:pPr>
              <w:pStyle w:val="ListParagraph"/>
              <w:autoSpaceDE w:val="0"/>
              <w:autoSpaceDN w:val="0"/>
              <w:adjustRightInd w:val="0"/>
              <w:ind w:left="0"/>
              <w:rPr>
                <w:rFonts w:cstheme="minorHAnsi"/>
                <w:bCs/>
                <w:color w:val="000000"/>
                <w:sz w:val="20"/>
              </w:rPr>
            </w:pPr>
            <w:r w:rsidRPr="003B3646">
              <w:rPr>
                <w:rFonts w:cstheme="minorHAnsi"/>
                <w:bCs/>
                <w:color w:val="000000"/>
                <w:sz w:val="20"/>
              </w:rPr>
              <w:t>-To use support from teaching assistants to provide small group targeted teaching to pupils who need a ‘boost’ to close the gaps in their learning</w:t>
            </w:r>
            <w:r>
              <w:rPr>
                <w:rFonts w:cstheme="minorHAnsi"/>
                <w:bCs/>
                <w:color w:val="000000"/>
                <w:sz w:val="20"/>
              </w:rPr>
              <w:t>.  To increase confidence and fluency in order to access the curriculum.</w:t>
            </w:r>
            <w:r w:rsidR="00611013">
              <w:rPr>
                <w:rFonts w:cstheme="minorHAnsi"/>
                <w:bCs/>
                <w:color w:val="000000"/>
                <w:sz w:val="20"/>
              </w:rPr>
              <w:t xml:space="preserve">  This will include phonics, reading, writing and maths.</w:t>
            </w:r>
          </w:p>
          <w:p w:rsidR="003B3646" w:rsidRPr="003B3646" w:rsidRDefault="003B3646" w:rsidP="00611013">
            <w:pPr>
              <w:pStyle w:val="ListParagraph"/>
              <w:autoSpaceDE w:val="0"/>
              <w:autoSpaceDN w:val="0"/>
              <w:adjustRightInd w:val="0"/>
              <w:ind w:left="0"/>
              <w:rPr>
                <w:rFonts w:cstheme="minorHAnsi"/>
                <w:bCs/>
                <w:color w:val="000000"/>
                <w:sz w:val="20"/>
              </w:rPr>
            </w:pPr>
            <w:r>
              <w:rPr>
                <w:rFonts w:cstheme="minorHAnsi"/>
                <w:bCs/>
                <w:color w:val="000000"/>
                <w:sz w:val="20"/>
              </w:rPr>
              <w:t xml:space="preserve">- To use the presence of teaching assistants to offer social and emotional support where needed to increase a sense of wellbeing and a reduction in anxiety in PP pupils </w:t>
            </w:r>
          </w:p>
        </w:tc>
        <w:tc>
          <w:tcPr>
            <w:tcW w:w="3310" w:type="dxa"/>
          </w:tcPr>
          <w:p w:rsidR="00DB1FAE" w:rsidRDefault="003B3646" w:rsidP="00611013">
            <w:pPr>
              <w:pStyle w:val="ListParagraph"/>
              <w:autoSpaceDE w:val="0"/>
              <w:autoSpaceDN w:val="0"/>
              <w:adjustRightInd w:val="0"/>
              <w:ind w:left="0"/>
              <w:rPr>
                <w:rFonts w:cstheme="minorHAnsi"/>
                <w:bCs/>
                <w:color w:val="000000"/>
                <w:sz w:val="20"/>
              </w:rPr>
            </w:pPr>
            <w:r w:rsidRPr="003B3646">
              <w:rPr>
                <w:rFonts w:cstheme="minorHAnsi"/>
                <w:bCs/>
                <w:color w:val="000000"/>
                <w:sz w:val="20"/>
              </w:rPr>
              <w:t>- To increase outcomes in reading, writing and maths.</w:t>
            </w:r>
          </w:p>
          <w:p w:rsidR="003B3646" w:rsidRPr="003B3646" w:rsidRDefault="003B3646" w:rsidP="00611013">
            <w:pPr>
              <w:pStyle w:val="ListParagraph"/>
              <w:autoSpaceDE w:val="0"/>
              <w:autoSpaceDN w:val="0"/>
              <w:adjustRightInd w:val="0"/>
              <w:ind w:left="0"/>
              <w:rPr>
                <w:rFonts w:cstheme="minorHAnsi"/>
                <w:bCs/>
                <w:color w:val="000000"/>
                <w:sz w:val="20"/>
              </w:rPr>
            </w:pPr>
            <w:r>
              <w:rPr>
                <w:rFonts w:cstheme="minorHAnsi"/>
                <w:bCs/>
                <w:color w:val="000000"/>
                <w:sz w:val="20"/>
              </w:rPr>
              <w:t>-To increase levels of wellbeing in order to help pupils be ready to learn</w:t>
            </w:r>
          </w:p>
        </w:tc>
        <w:tc>
          <w:tcPr>
            <w:tcW w:w="2416" w:type="dxa"/>
          </w:tcPr>
          <w:p w:rsidR="00DB1FAE" w:rsidRDefault="003B3646" w:rsidP="00611013">
            <w:pPr>
              <w:pStyle w:val="ListParagraph"/>
              <w:autoSpaceDE w:val="0"/>
              <w:autoSpaceDN w:val="0"/>
              <w:adjustRightInd w:val="0"/>
              <w:ind w:left="0"/>
              <w:rPr>
                <w:rFonts w:cstheme="minorHAnsi"/>
                <w:bCs/>
                <w:color w:val="000000"/>
                <w:sz w:val="20"/>
              </w:rPr>
            </w:pPr>
            <w:r w:rsidRPr="003B3646">
              <w:rPr>
                <w:rFonts w:cstheme="minorHAnsi"/>
                <w:bCs/>
                <w:color w:val="000000"/>
                <w:sz w:val="20"/>
              </w:rPr>
              <w:t>-pupil progress meetings</w:t>
            </w:r>
          </w:p>
          <w:p w:rsidR="003B3646" w:rsidRPr="003B3646" w:rsidRDefault="003B3646" w:rsidP="00611013">
            <w:pPr>
              <w:pStyle w:val="ListParagraph"/>
              <w:autoSpaceDE w:val="0"/>
              <w:autoSpaceDN w:val="0"/>
              <w:adjustRightInd w:val="0"/>
              <w:ind w:left="0"/>
              <w:rPr>
                <w:rFonts w:cstheme="minorHAnsi"/>
                <w:bCs/>
                <w:color w:val="000000"/>
                <w:sz w:val="20"/>
              </w:rPr>
            </w:pPr>
            <w:r w:rsidRPr="003B3646">
              <w:rPr>
                <w:rFonts w:cstheme="minorHAnsi"/>
                <w:bCs/>
                <w:color w:val="000000"/>
                <w:sz w:val="20"/>
              </w:rPr>
              <w:t>-</w:t>
            </w:r>
            <w:r>
              <w:rPr>
                <w:rFonts w:cstheme="minorHAnsi"/>
                <w:bCs/>
                <w:color w:val="000000"/>
                <w:sz w:val="20"/>
              </w:rPr>
              <w:t xml:space="preserve"> </w:t>
            </w:r>
            <w:proofErr w:type="gramStart"/>
            <w:r>
              <w:rPr>
                <w:rFonts w:cstheme="minorHAnsi"/>
                <w:bCs/>
                <w:color w:val="000000"/>
                <w:sz w:val="20"/>
              </w:rPr>
              <w:t>end</w:t>
            </w:r>
            <w:proofErr w:type="gramEnd"/>
            <w:r>
              <w:rPr>
                <w:rFonts w:cstheme="minorHAnsi"/>
                <w:bCs/>
                <w:color w:val="000000"/>
                <w:sz w:val="20"/>
              </w:rPr>
              <w:t xml:space="preserve"> of year outcomes</w:t>
            </w:r>
            <w:r w:rsidR="00611013">
              <w:rPr>
                <w:rFonts w:cstheme="minorHAnsi"/>
                <w:bCs/>
                <w:color w:val="000000"/>
                <w:sz w:val="20"/>
              </w:rPr>
              <w:t>, both statutory and in-school.</w:t>
            </w:r>
          </w:p>
        </w:tc>
      </w:tr>
      <w:tr w:rsidR="00DB1FAE" w:rsidTr="003B3646">
        <w:tc>
          <w:tcPr>
            <w:tcW w:w="1985"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To support wider curriculum opportunities</w:t>
            </w:r>
          </w:p>
        </w:tc>
        <w:tc>
          <w:tcPr>
            <w:tcW w:w="1842"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6%</w:t>
            </w:r>
          </w:p>
        </w:tc>
        <w:tc>
          <w:tcPr>
            <w:tcW w:w="2127"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Continued</w:t>
            </w:r>
          </w:p>
        </w:tc>
        <w:tc>
          <w:tcPr>
            <w:tcW w:w="3309" w:type="dxa"/>
          </w:tcPr>
          <w:p w:rsidR="00DB1FAE" w:rsidRPr="003B3646" w:rsidRDefault="00611013" w:rsidP="00611013">
            <w:pPr>
              <w:pStyle w:val="ListParagraph"/>
              <w:autoSpaceDE w:val="0"/>
              <w:autoSpaceDN w:val="0"/>
              <w:adjustRightInd w:val="0"/>
              <w:ind w:left="0"/>
              <w:rPr>
                <w:rFonts w:cstheme="minorHAnsi"/>
                <w:bCs/>
                <w:color w:val="000000"/>
                <w:sz w:val="20"/>
              </w:rPr>
            </w:pPr>
            <w:r>
              <w:rPr>
                <w:rFonts w:cstheme="minorHAnsi"/>
                <w:bCs/>
                <w:color w:val="000000"/>
                <w:sz w:val="20"/>
              </w:rPr>
              <w:t xml:space="preserve">-To enhance wider opportunities in education, such as financially supporting school trips, swimming, </w:t>
            </w:r>
            <w:proofErr w:type="spellStart"/>
            <w:r>
              <w:rPr>
                <w:rFonts w:cstheme="minorHAnsi"/>
                <w:bCs/>
                <w:color w:val="000000"/>
                <w:sz w:val="20"/>
              </w:rPr>
              <w:lastRenderedPageBreak/>
              <w:t>residentials</w:t>
            </w:r>
            <w:proofErr w:type="spellEnd"/>
            <w:r>
              <w:rPr>
                <w:rFonts w:cstheme="minorHAnsi"/>
                <w:bCs/>
                <w:color w:val="000000"/>
                <w:sz w:val="20"/>
              </w:rPr>
              <w:t>, music lessons and uniform.</w:t>
            </w:r>
          </w:p>
        </w:tc>
        <w:tc>
          <w:tcPr>
            <w:tcW w:w="3310" w:type="dxa"/>
          </w:tcPr>
          <w:p w:rsidR="00DB1FAE" w:rsidRPr="003B3646" w:rsidRDefault="00611013" w:rsidP="00611013">
            <w:pPr>
              <w:pStyle w:val="ListParagraph"/>
              <w:autoSpaceDE w:val="0"/>
              <w:autoSpaceDN w:val="0"/>
              <w:adjustRightInd w:val="0"/>
              <w:ind w:left="0"/>
              <w:rPr>
                <w:rFonts w:cstheme="minorHAnsi"/>
                <w:bCs/>
                <w:color w:val="000000"/>
                <w:sz w:val="20"/>
              </w:rPr>
            </w:pPr>
            <w:r>
              <w:rPr>
                <w:rFonts w:cstheme="minorHAnsi"/>
                <w:bCs/>
                <w:color w:val="000000"/>
                <w:sz w:val="20"/>
              </w:rPr>
              <w:lastRenderedPageBreak/>
              <w:t xml:space="preserve">-To provide an equality of opportunity for all to experience elements of the school offer that will </w:t>
            </w:r>
            <w:r>
              <w:rPr>
                <w:rFonts w:cstheme="minorHAnsi"/>
                <w:bCs/>
                <w:color w:val="000000"/>
                <w:sz w:val="20"/>
              </w:rPr>
              <w:lastRenderedPageBreak/>
              <w:t>enhance personal development at every level.</w:t>
            </w:r>
          </w:p>
        </w:tc>
        <w:tc>
          <w:tcPr>
            <w:tcW w:w="2416" w:type="dxa"/>
          </w:tcPr>
          <w:p w:rsidR="00DB1FAE" w:rsidRPr="003B3646" w:rsidRDefault="00611013" w:rsidP="00611013">
            <w:pPr>
              <w:pStyle w:val="ListParagraph"/>
              <w:autoSpaceDE w:val="0"/>
              <w:autoSpaceDN w:val="0"/>
              <w:adjustRightInd w:val="0"/>
              <w:ind w:left="0"/>
              <w:rPr>
                <w:rFonts w:cstheme="minorHAnsi"/>
                <w:bCs/>
                <w:color w:val="000000"/>
                <w:sz w:val="20"/>
              </w:rPr>
            </w:pPr>
            <w:r>
              <w:rPr>
                <w:rFonts w:cstheme="minorHAnsi"/>
                <w:bCs/>
                <w:color w:val="000000"/>
                <w:sz w:val="20"/>
              </w:rPr>
              <w:lastRenderedPageBreak/>
              <w:t>-Teachers will feedback how the pupil has gained from the experience.</w:t>
            </w:r>
          </w:p>
        </w:tc>
      </w:tr>
      <w:tr w:rsidR="00DB1FAE" w:rsidTr="003B3646">
        <w:tc>
          <w:tcPr>
            <w:tcW w:w="1985"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School Dog</w:t>
            </w:r>
          </w:p>
        </w:tc>
        <w:tc>
          <w:tcPr>
            <w:tcW w:w="1842"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2%</w:t>
            </w:r>
          </w:p>
        </w:tc>
        <w:tc>
          <w:tcPr>
            <w:tcW w:w="2127"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Continued</w:t>
            </w:r>
          </w:p>
        </w:tc>
        <w:tc>
          <w:tcPr>
            <w:tcW w:w="3309" w:type="dxa"/>
          </w:tcPr>
          <w:p w:rsidR="00DB1FAE" w:rsidRPr="003B3646"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-To use the school dog to boost confidence both socially and emotionally and to boost confidence in a new area of learning such as positive dog training.</w:t>
            </w:r>
          </w:p>
        </w:tc>
        <w:tc>
          <w:tcPr>
            <w:tcW w:w="3310" w:type="dxa"/>
          </w:tcPr>
          <w:p w:rsidR="00DB1FAE"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-Pupils learn that animals can raise one’s wellbeing when their welfare is paramount.</w:t>
            </w:r>
          </w:p>
          <w:p w:rsidR="00611013" w:rsidRDefault="00611013" w:rsidP="00DB1FAE">
            <w:pPr>
              <w:pStyle w:val="ListParagraph"/>
              <w:autoSpaceDE w:val="0"/>
              <w:autoSpaceDN w:val="0"/>
              <w:adjustRightInd w:val="0"/>
              <w:ind w:left="0"/>
              <w:rPr>
                <w:rFonts w:cstheme="minorHAnsi"/>
                <w:bCs/>
                <w:color w:val="000000"/>
                <w:sz w:val="20"/>
              </w:rPr>
            </w:pPr>
          </w:p>
          <w:p w:rsidR="00611013" w:rsidRPr="003B3646"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-Pupils learn basic principles of positive dog training in order to boost confidence in an unusual area within school.</w:t>
            </w:r>
          </w:p>
        </w:tc>
        <w:tc>
          <w:tcPr>
            <w:tcW w:w="2416" w:type="dxa"/>
          </w:tcPr>
          <w:p w:rsidR="00DB1FAE" w:rsidRPr="003B3646"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 xml:space="preserve">-Engagement levels and HT will discuss with </w:t>
            </w:r>
            <w:proofErr w:type="spellStart"/>
            <w:r>
              <w:rPr>
                <w:rFonts w:cstheme="minorHAnsi"/>
                <w:bCs/>
                <w:color w:val="000000"/>
                <w:sz w:val="20"/>
              </w:rPr>
              <w:t>classteacher</w:t>
            </w:r>
            <w:proofErr w:type="spellEnd"/>
            <w:r>
              <w:rPr>
                <w:rFonts w:cstheme="minorHAnsi"/>
                <w:bCs/>
                <w:color w:val="000000"/>
                <w:sz w:val="20"/>
              </w:rPr>
              <w:t xml:space="preserve"> how the work has affected academic work through pupil progress meetings.</w:t>
            </w:r>
          </w:p>
        </w:tc>
      </w:tr>
      <w:tr w:rsidR="00DB1FAE" w:rsidTr="003B3646">
        <w:tc>
          <w:tcPr>
            <w:tcW w:w="1985"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Pastoral support</w:t>
            </w:r>
          </w:p>
        </w:tc>
        <w:tc>
          <w:tcPr>
            <w:tcW w:w="1842"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5%</w:t>
            </w:r>
          </w:p>
        </w:tc>
        <w:tc>
          <w:tcPr>
            <w:tcW w:w="2127"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New</w:t>
            </w:r>
          </w:p>
        </w:tc>
        <w:tc>
          <w:tcPr>
            <w:tcW w:w="3309" w:type="dxa"/>
          </w:tcPr>
          <w:p w:rsidR="00DB1FAE" w:rsidRPr="003B3646"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-For the school’s pastoral lead to engage with pupils where appropriate</w:t>
            </w:r>
            <w:r w:rsidR="00130639">
              <w:rPr>
                <w:rFonts w:cstheme="minorHAnsi"/>
                <w:bCs/>
                <w:color w:val="000000"/>
                <w:sz w:val="20"/>
              </w:rPr>
              <w:t xml:space="preserve"> to reduce any emotional barriers to learning.</w:t>
            </w:r>
          </w:p>
        </w:tc>
        <w:tc>
          <w:tcPr>
            <w:tcW w:w="3310" w:type="dxa"/>
          </w:tcPr>
          <w:p w:rsidR="00DB1FAE" w:rsidRPr="003B3646" w:rsidRDefault="00130639" w:rsidP="00DB1FAE">
            <w:pPr>
              <w:pStyle w:val="ListParagraph"/>
              <w:autoSpaceDE w:val="0"/>
              <w:autoSpaceDN w:val="0"/>
              <w:adjustRightInd w:val="0"/>
              <w:ind w:left="0"/>
              <w:rPr>
                <w:rFonts w:cstheme="minorHAnsi"/>
                <w:bCs/>
                <w:color w:val="000000"/>
                <w:sz w:val="20"/>
              </w:rPr>
            </w:pPr>
            <w:r>
              <w:rPr>
                <w:rFonts w:cstheme="minorHAnsi"/>
                <w:bCs/>
                <w:color w:val="000000"/>
                <w:sz w:val="20"/>
              </w:rPr>
              <w:t>-Pupils receive enough input to then not need further intervention to support learning</w:t>
            </w:r>
          </w:p>
        </w:tc>
        <w:tc>
          <w:tcPr>
            <w:tcW w:w="2416" w:type="dxa"/>
          </w:tcPr>
          <w:p w:rsidR="00DB1FAE" w:rsidRPr="003B3646" w:rsidRDefault="00130639" w:rsidP="00DB1FAE">
            <w:pPr>
              <w:pStyle w:val="ListParagraph"/>
              <w:autoSpaceDE w:val="0"/>
              <w:autoSpaceDN w:val="0"/>
              <w:adjustRightInd w:val="0"/>
              <w:ind w:left="0"/>
              <w:rPr>
                <w:rFonts w:cstheme="minorHAnsi"/>
                <w:bCs/>
                <w:color w:val="000000"/>
                <w:sz w:val="20"/>
              </w:rPr>
            </w:pPr>
            <w:r>
              <w:rPr>
                <w:rFonts w:cstheme="minorHAnsi"/>
                <w:bCs/>
                <w:color w:val="000000"/>
                <w:sz w:val="20"/>
              </w:rPr>
              <w:t>-Pastoral mentor to discuss cases with the HT.</w:t>
            </w:r>
          </w:p>
        </w:tc>
      </w:tr>
    </w:tbl>
    <w:p w:rsidR="00DE5552" w:rsidRPr="00611013" w:rsidRDefault="00DE5552" w:rsidP="00611013">
      <w:pPr>
        <w:autoSpaceDE w:val="0"/>
        <w:autoSpaceDN w:val="0"/>
        <w:adjustRightInd w:val="0"/>
        <w:spacing w:after="0" w:line="240" w:lineRule="auto"/>
        <w:rPr>
          <w:rFonts w:cstheme="minorHAnsi"/>
          <w:color w:val="000000"/>
        </w:rPr>
      </w:pPr>
    </w:p>
    <w:p w:rsidR="00B132ED" w:rsidRPr="000A23F1" w:rsidRDefault="00B132ED" w:rsidP="002A057B">
      <w:pPr>
        <w:pStyle w:val="ListParagraph"/>
        <w:autoSpaceDE w:val="0"/>
        <w:autoSpaceDN w:val="0"/>
        <w:adjustRightInd w:val="0"/>
        <w:spacing w:after="0" w:line="240" w:lineRule="auto"/>
        <w:rPr>
          <w:rFonts w:cstheme="minorHAnsi"/>
          <w:color w:val="000000"/>
        </w:rPr>
      </w:pPr>
    </w:p>
    <w:p w:rsidR="001338FC" w:rsidRPr="000A23F1" w:rsidRDefault="001338FC" w:rsidP="002A057B">
      <w:pPr>
        <w:tabs>
          <w:tab w:val="left" w:pos="900"/>
        </w:tabs>
        <w:spacing w:after="0"/>
        <w:rPr>
          <w:rFonts w:cstheme="minorHAnsi"/>
        </w:rPr>
      </w:pPr>
      <w:r w:rsidRPr="000A23F1">
        <w:rPr>
          <w:rFonts w:cstheme="minorHAnsi"/>
        </w:rPr>
        <w:t>We will monitor the impact of this expenditure throughout the year in relation to the impact upon children and report on our website at the end of the academic year.</w:t>
      </w:r>
    </w:p>
    <w:sectPr w:rsidR="001338FC" w:rsidRPr="000A23F1" w:rsidSect="00DB1FA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4743"/>
    <w:multiLevelType w:val="hybridMultilevel"/>
    <w:tmpl w:val="2FDC6C60"/>
    <w:lvl w:ilvl="0" w:tplc="ADC27B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5DB6"/>
    <w:multiLevelType w:val="hybridMultilevel"/>
    <w:tmpl w:val="A532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846EA"/>
    <w:multiLevelType w:val="hybridMultilevel"/>
    <w:tmpl w:val="9B548BDC"/>
    <w:lvl w:ilvl="0" w:tplc="2F8A3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C49E5"/>
    <w:multiLevelType w:val="hybridMultilevel"/>
    <w:tmpl w:val="4CA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B670E"/>
    <w:multiLevelType w:val="hybridMultilevel"/>
    <w:tmpl w:val="A25A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461AC"/>
    <w:multiLevelType w:val="hybridMultilevel"/>
    <w:tmpl w:val="90E2D738"/>
    <w:lvl w:ilvl="0" w:tplc="2F8A39C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046799"/>
    <w:multiLevelType w:val="hybridMultilevel"/>
    <w:tmpl w:val="5A7240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2645F99"/>
    <w:multiLevelType w:val="hybridMultilevel"/>
    <w:tmpl w:val="714033A2"/>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8" w15:restartNumberingAfterBreak="0">
    <w:nsid w:val="34636C8A"/>
    <w:multiLevelType w:val="hybridMultilevel"/>
    <w:tmpl w:val="5218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54613"/>
    <w:multiLevelType w:val="hybridMultilevel"/>
    <w:tmpl w:val="32B82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945DA7"/>
    <w:multiLevelType w:val="hybridMultilevel"/>
    <w:tmpl w:val="471EA3E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46044B26"/>
    <w:multiLevelType w:val="multilevel"/>
    <w:tmpl w:val="56A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C2854"/>
    <w:multiLevelType w:val="hybridMultilevel"/>
    <w:tmpl w:val="C748A7BC"/>
    <w:lvl w:ilvl="0" w:tplc="2F8A3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76446"/>
    <w:multiLevelType w:val="hybridMultilevel"/>
    <w:tmpl w:val="5358E3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555F5390"/>
    <w:multiLevelType w:val="hybridMultilevel"/>
    <w:tmpl w:val="F6A0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B5AF4"/>
    <w:multiLevelType w:val="hybridMultilevel"/>
    <w:tmpl w:val="15744C44"/>
    <w:lvl w:ilvl="0" w:tplc="CE48575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1669A"/>
    <w:multiLevelType w:val="hybridMultilevel"/>
    <w:tmpl w:val="BFB4CDA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6EB01712"/>
    <w:multiLevelType w:val="hybridMultilevel"/>
    <w:tmpl w:val="4142FCDA"/>
    <w:lvl w:ilvl="0" w:tplc="2F8A3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A7D71"/>
    <w:multiLevelType w:val="hybridMultilevel"/>
    <w:tmpl w:val="DAEACA2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9" w15:restartNumberingAfterBreak="0">
    <w:nsid w:val="73734E21"/>
    <w:multiLevelType w:val="hybridMultilevel"/>
    <w:tmpl w:val="370AFEEC"/>
    <w:lvl w:ilvl="0" w:tplc="CE48575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C4757"/>
    <w:multiLevelType w:val="hybridMultilevel"/>
    <w:tmpl w:val="4CC6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00B79"/>
    <w:multiLevelType w:val="hybridMultilevel"/>
    <w:tmpl w:val="FF04C988"/>
    <w:lvl w:ilvl="0" w:tplc="38E63C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17"/>
  </w:num>
  <w:num w:numId="5">
    <w:abstractNumId w:val="12"/>
  </w:num>
  <w:num w:numId="6">
    <w:abstractNumId w:val="5"/>
  </w:num>
  <w:num w:numId="7">
    <w:abstractNumId w:val="2"/>
  </w:num>
  <w:num w:numId="8">
    <w:abstractNumId w:val="7"/>
  </w:num>
  <w:num w:numId="9">
    <w:abstractNumId w:val="13"/>
  </w:num>
  <w:num w:numId="10">
    <w:abstractNumId w:val="14"/>
  </w:num>
  <w:num w:numId="11">
    <w:abstractNumId w:val="6"/>
  </w:num>
  <w:num w:numId="12">
    <w:abstractNumId w:val="18"/>
  </w:num>
  <w:num w:numId="13">
    <w:abstractNumId w:val="10"/>
  </w:num>
  <w:num w:numId="14">
    <w:abstractNumId w:val="16"/>
  </w:num>
  <w:num w:numId="15">
    <w:abstractNumId w:val="11"/>
  </w:num>
  <w:num w:numId="16">
    <w:abstractNumId w:val="9"/>
  </w:num>
  <w:num w:numId="17">
    <w:abstractNumId w:val="0"/>
  </w:num>
  <w:num w:numId="18">
    <w:abstractNumId w:val="1"/>
  </w:num>
  <w:num w:numId="19">
    <w:abstractNumId w:val="20"/>
  </w:num>
  <w:num w:numId="20">
    <w:abstractNumId w:val="3"/>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5A"/>
    <w:rsid w:val="00006AF7"/>
    <w:rsid w:val="0002141C"/>
    <w:rsid w:val="00023240"/>
    <w:rsid w:val="00057A13"/>
    <w:rsid w:val="00071B05"/>
    <w:rsid w:val="00074EAE"/>
    <w:rsid w:val="000A23F1"/>
    <w:rsid w:val="000B317B"/>
    <w:rsid w:val="000F6B14"/>
    <w:rsid w:val="00123A8B"/>
    <w:rsid w:val="00125F0F"/>
    <w:rsid w:val="00130639"/>
    <w:rsid w:val="001338FC"/>
    <w:rsid w:val="00135CF9"/>
    <w:rsid w:val="00147795"/>
    <w:rsid w:val="001569AC"/>
    <w:rsid w:val="00161E2D"/>
    <w:rsid w:val="001B05C6"/>
    <w:rsid w:val="001C5EE7"/>
    <w:rsid w:val="001E1794"/>
    <w:rsid w:val="0021504E"/>
    <w:rsid w:val="002157E8"/>
    <w:rsid w:val="002200B5"/>
    <w:rsid w:val="00256331"/>
    <w:rsid w:val="00271324"/>
    <w:rsid w:val="002A057B"/>
    <w:rsid w:val="002A5345"/>
    <w:rsid w:val="002B0866"/>
    <w:rsid w:val="002B6499"/>
    <w:rsid w:val="002B6D2C"/>
    <w:rsid w:val="003107B0"/>
    <w:rsid w:val="0031111F"/>
    <w:rsid w:val="00325DDD"/>
    <w:rsid w:val="00331FF3"/>
    <w:rsid w:val="003509CD"/>
    <w:rsid w:val="003532E3"/>
    <w:rsid w:val="003602FE"/>
    <w:rsid w:val="00370A63"/>
    <w:rsid w:val="00377657"/>
    <w:rsid w:val="00382BBE"/>
    <w:rsid w:val="003A5A8C"/>
    <w:rsid w:val="003A683F"/>
    <w:rsid w:val="003B08E2"/>
    <w:rsid w:val="003B3646"/>
    <w:rsid w:val="003B5F7E"/>
    <w:rsid w:val="003D2BE0"/>
    <w:rsid w:val="00403A2C"/>
    <w:rsid w:val="00475B27"/>
    <w:rsid w:val="00497FEB"/>
    <w:rsid w:val="004A70D6"/>
    <w:rsid w:val="004A75D8"/>
    <w:rsid w:val="004F50E6"/>
    <w:rsid w:val="0050408A"/>
    <w:rsid w:val="0051709C"/>
    <w:rsid w:val="00532FB8"/>
    <w:rsid w:val="005E31BB"/>
    <w:rsid w:val="005E45FF"/>
    <w:rsid w:val="005F214D"/>
    <w:rsid w:val="00611013"/>
    <w:rsid w:val="006154D6"/>
    <w:rsid w:val="00616EB3"/>
    <w:rsid w:val="0062204C"/>
    <w:rsid w:val="00637AC8"/>
    <w:rsid w:val="00641BFC"/>
    <w:rsid w:val="006441E1"/>
    <w:rsid w:val="00644B07"/>
    <w:rsid w:val="00656843"/>
    <w:rsid w:val="00665BC7"/>
    <w:rsid w:val="0067348E"/>
    <w:rsid w:val="006B3A17"/>
    <w:rsid w:val="006B5E7D"/>
    <w:rsid w:val="006B7AEF"/>
    <w:rsid w:val="006F330F"/>
    <w:rsid w:val="007005C6"/>
    <w:rsid w:val="00704D2E"/>
    <w:rsid w:val="00721434"/>
    <w:rsid w:val="007221CD"/>
    <w:rsid w:val="00752EAB"/>
    <w:rsid w:val="00756AA5"/>
    <w:rsid w:val="00763FDD"/>
    <w:rsid w:val="007659EA"/>
    <w:rsid w:val="00772355"/>
    <w:rsid w:val="00772CDA"/>
    <w:rsid w:val="0078684B"/>
    <w:rsid w:val="007B7397"/>
    <w:rsid w:val="007D1DC6"/>
    <w:rsid w:val="007D32A8"/>
    <w:rsid w:val="007F79A9"/>
    <w:rsid w:val="00835888"/>
    <w:rsid w:val="00841BF4"/>
    <w:rsid w:val="008464C9"/>
    <w:rsid w:val="008500A5"/>
    <w:rsid w:val="008518BE"/>
    <w:rsid w:val="00855B7E"/>
    <w:rsid w:val="00856FB2"/>
    <w:rsid w:val="00880492"/>
    <w:rsid w:val="008A25D1"/>
    <w:rsid w:val="008B41DE"/>
    <w:rsid w:val="008C4E85"/>
    <w:rsid w:val="008D27D4"/>
    <w:rsid w:val="008D588B"/>
    <w:rsid w:val="008D6102"/>
    <w:rsid w:val="008F355A"/>
    <w:rsid w:val="008F4B81"/>
    <w:rsid w:val="00904C5F"/>
    <w:rsid w:val="00917BB0"/>
    <w:rsid w:val="00937920"/>
    <w:rsid w:val="00984C5D"/>
    <w:rsid w:val="009B6934"/>
    <w:rsid w:val="009F1A70"/>
    <w:rsid w:val="00A10946"/>
    <w:rsid w:val="00A46C8B"/>
    <w:rsid w:val="00A51CBC"/>
    <w:rsid w:val="00A62B4B"/>
    <w:rsid w:val="00A7396C"/>
    <w:rsid w:val="00A75949"/>
    <w:rsid w:val="00A80FE7"/>
    <w:rsid w:val="00A94B18"/>
    <w:rsid w:val="00AA1318"/>
    <w:rsid w:val="00AB61A5"/>
    <w:rsid w:val="00AC0DA5"/>
    <w:rsid w:val="00AC3D40"/>
    <w:rsid w:val="00AC7DB8"/>
    <w:rsid w:val="00AD0269"/>
    <w:rsid w:val="00AE4097"/>
    <w:rsid w:val="00B02CD0"/>
    <w:rsid w:val="00B02FFA"/>
    <w:rsid w:val="00B04908"/>
    <w:rsid w:val="00B0752F"/>
    <w:rsid w:val="00B132ED"/>
    <w:rsid w:val="00B3225C"/>
    <w:rsid w:val="00B509D9"/>
    <w:rsid w:val="00B52AFC"/>
    <w:rsid w:val="00B75B6F"/>
    <w:rsid w:val="00B9611C"/>
    <w:rsid w:val="00BB783E"/>
    <w:rsid w:val="00BB7A62"/>
    <w:rsid w:val="00BB7DE2"/>
    <w:rsid w:val="00BE2261"/>
    <w:rsid w:val="00BE768D"/>
    <w:rsid w:val="00C241DC"/>
    <w:rsid w:val="00C24A47"/>
    <w:rsid w:val="00CA2608"/>
    <w:rsid w:val="00CA7A0F"/>
    <w:rsid w:val="00CB4025"/>
    <w:rsid w:val="00CE6902"/>
    <w:rsid w:val="00D01041"/>
    <w:rsid w:val="00DA1AA3"/>
    <w:rsid w:val="00DA707D"/>
    <w:rsid w:val="00DB1FAE"/>
    <w:rsid w:val="00DC1EFB"/>
    <w:rsid w:val="00DD4CB8"/>
    <w:rsid w:val="00DE5552"/>
    <w:rsid w:val="00E118C5"/>
    <w:rsid w:val="00E16076"/>
    <w:rsid w:val="00E503CA"/>
    <w:rsid w:val="00E54A1E"/>
    <w:rsid w:val="00E8120A"/>
    <w:rsid w:val="00E92051"/>
    <w:rsid w:val="00EC1A89"/>
    <w:rsid w:val="00EF06A4"/>
    <w:rsid w:val="00F1125F"/>
    <w:rsid w:val="00F15F95"/>
    <w:rsid w:val="00F20DEA"/>
    <w:rsid w:val="00F22E4F"/>
    <w:rsid w:val="00F317B2"/>
    <w:rsid w:val="00F51A9E"/>
    <w:rsid w:val="00F51E8C"/>
    <w:rsid w:val="00F70949"/>
    <w:rsid w:val="00FA490E"/>
    <w:rsid w:val="00FC09EB"/>
    <w:rsid w:val="00FD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8584"/>
  <w15:docId w15:val="{75937806-59AF-49D3-B062-3A191A1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F95"/>
    <w:pPr>
      <w:ind w:left="720"/>
      <w:contextualSpacing/>
    </w:pPr>
  </w:style>
  <w:style w:type="paragraph" w:styleId="BalloonText">
    <w:name w:val="Balloon Text"/>
    <w:basedOn w:val="Normal"/>
    <w:link w:val="BalloonTextChar"/>
    <w:uiPriority w:val="99"/>
    <w:semiHidden/>
    <w:unhideWhenUsed/>
    <w:rsid w:val="007F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A9"/>
    <w:rPr>
      <w:rFonts w:ascii="Tahoma" w:hAnsi="Tahoma" w:cs="Tahoma"/>
      <w:sz w:val="16"/>
      <w:szCs w:val="16"/>
    </w:rPr>
  </w:style>
  <w:style w:type="paragraph" w:customStyle="1" w:styleId="Default">
    <w:name w:val="Default"/>
    <w:rsid w:val="00057A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310">
      <w:bodyDiv w:val="1"/>
      <w:marLeft w:val="0"/>
      <w:marRight w:val="0"/>
      <w:marTop w:val="0"/>
      <w:marBottom w:val="0"/>
      <w:divBdr>
        <w:top w:val="none" w:sz="0" w:space="0" w:color="auto"/>
        <w:left w:val="none" w:sz="0" w:space="0" w:color="auto"/>
        <w:bottom w:val="none" w:sz="0" w:space="0" w:color="auto"/>
        <w:right w:val="none" w:sz="0" w:space="0" w:color="auto"/>
      </w:divBdr>
    </w:div>
    <w:div w:id="1016738558">
      <w:bodyDiv w:val="1"/>
      <w:marLeft w:val="0"/>
      <w:marRight w:val="0"/>
      <w:marTop w:val="0"/>
      <w:marBottom w:val="0"/>
      <w:divBdr>
        <w:top w:val="none" w:sz="0" w:space="0" w:color="auto"/>
        <w:left w:val="none" w:sz="0" w:space="0" w:color="auto"/>
        <w:bottom w:val="none" w:sz="0" w:space="0" w:color="auto"/>
        <w:right w:val="none" w:sz="0" w:space="0" w:color="auto"/>
      </w:divBdr>
      <w:divsChild>
        <w:div w:id="701367788">
          <w:marLeft w:val="0"/>
          <w:marRight w:val="0"/>
          <w:marTop w:val="0"/>
          <w:marBottom w:val="0"/>
          <w:divBdr>
            <w:top w:val="none" w:sz="0" w:space="0" w:color="auto"/>
            <w:left w:val="none" w:sz="0" w:space="0" w:color="auto"/>
            <w:bottom w:val="none" w:sz="0" w:space="0" w:color="auto"/>
            <w:right w:val="none" w:sz="0" w:space="0" w:color="auto"/>
          </w:divBdr>
          <w:divsChild>
            <w:div w:id="2044747240">
              <w:marLeft w:val="0"/>
              <w:marRight w:val="0"/>
              <w:marTop w:val="0"/>
              <w:marBottom w:val="0"/>
              <w:divBdr>
                <w:top w:val="none" w:sz="0" w:space="0" w:color="auto"/>
                <w:left w:val="none" w:sz="0" w:space="0" w:color="auto"/>
                <w:bottom w:val="none" w:sz="0" w:space="0" w:color="auto"/>
                <w:right w:val="none" w:sz="0" w:space="0" w:color="auto"/>
              </w:divBdr>
              <w:divsChild>
                <w:div w:id="1352990813">
                  <w:marLeft w:val="0"/>
                  <w:marRight w:val="0"/>
                  <w:marTop w:val="0"/>
                  <w:marBottom w:val="0"/>
                  <w:divBdr>
                    <w:top w:val="none" w:sz="0" w:space="0" w:color="auto"/>
                    <w:left w:val="none" w:sz="0" w:space="0" w:color="auto"/>
                    <w:bottom w:val="none" w:sz="0" w:space="0" w:color="auto"/>
                    <w:right w:val="none" w:sz="0" w:space="0" w:color="auto"/>
                  </w:divBdr>
                  <w:divsChild>
                    <w:div w:id="527373179">
                      <w:marLeft w:val="0"/>
                      <w:marRight w:val="0"/>
                      <w:marTop w:val="0"/>
                      <w:marBottom w:val="0"/>
                      <w:divBdr>
                        <w:top w:val="none" w:sz="0" w:space="0" w:color="auto"/>
                        <w:left w:val="none" w:sz="0" w:space="0" w:color="auto"/>
                        <w:bottom w:val="none" w:sz="0" w:space="0" w:color="auto"/>
                        <w:right w:val="none" w:sz="0" w:space="0" w:color="auto"/>
                      </w:divBdr>
                      <w:divsChild>
                        <w:div w:id="306201058">
                          <w:marLeft w:val="0"/>
                          <w:marRight w:val="0"/>
                          <w:marTop w:val="0"/>
                          <w:marBottom w:val="0"/>
                          <w:divBdr>
                            <w:top w:val="none" w:sz="0" w:space="0" w:color="auto"/>
                            <w:left w:val="none" w:sz="0" w:space="0" w:color="auto"/>
                            <w:bottom w:val="none" w:sz="0" w:space="0" w:color="auto"/>
                            <w:right w:val="none" w:sz="0" w:space="0" w:color="auto"/>
                          </w:divBdr>
                          <w:divsChild>
                            <w:div w:id="1371106055">
                              <w:marLeft w:val="0"/>
                              <w:marRight w:val="0"/>
                              <w:marTop w:val="0"/>
                              <w:marBottom w:val="0"/>
                              <w:divBdr>
                                <w:top w:val="none" w:sz="0" w:space="0" w:color="auto"/>
                                <w:left w:val="none" w:sz="0" w:space="0" w:color="auto"/>
                                <w:bottom w:val="none" w:sz="0" w:space="0" w:color="auto"/>
                                <w:right w:val="none" w:sz="0" w:space="0" w:color="auto"/>
                              </w:divBdr>
                              <w:divsChild>
                                <w:div w:id="427238538">
                                  <w:marLeft w:val="0"/>
                                  <w:marRight w:val="0"/>
                                  <w:marTop w:val="0"/>
                                  <w:marBottom w:val="0"/>
                                  <w:divBdr>
                                    <w:top w:val="none" w:sz="0" w:space="0" w:color="auto"/>
                                    <w:left w:val="none" w:sz="0" w:space="0" w:color="auto"/>
                                    <w:bottom w:val="none" w:sz="0" w:space="0" w:color="auto"/>
                                    <w:right w:val="none" w:sz="0" w:space="0" w:color="auto"/>
                                  </w:divBdr>
                                  <w:divsChild>
                                    <w:div w:id="338701172">
                                      <w:marLeft w:val="0"/>
                                      <w:marRight w:val="0"/>
                                      <w:marTop w:val="0"/>
                                      <w:marBottom w:val="0"/>
                                      <w:divBdr>
                                        <w:top w:val="none" w:sz="0" w:space="0" w:color="auto"/>
                                        <w:left w:val="none" w:sz="0" w:space="0" w:color="auto"/>
                                        <w:bottom w:val="none" w:sz="0" w:space="0" w:color="auto"/>
                                        <w:right w:val="none" w:sz="0" w:space="0" w:color="auto"/>
                                      </w:divBdr>
                                      <w:divsChild>
                                        <w:div w:id="1386290969">
                                          <w:marLeft w:val="0"/>
                                          <w:marRight w:val="0"/>
                                          <w:marTop w:val="0"/>
                                          <w:marBottom w:val="0"/>
                                          <w:divBdr>
                                            <w:top w:val="none" w:sz="0" w:space="0" w:color="auto"/>
                                            <w:left w:val="none" w:sz="0" w:space="0" w:color="auto"/>
                                            <w:bottom w:val="none" w:sz="0" w:space="0" w:color="auto"/>
                                            <w:right w:val="none" w:sz="0" w:space="0" w:color="auto"/>
                                          </w:divBdr>
                                          <w:divsChild>
                                            <w:div w:id="23094077">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492649955">
                                                      <w:marLeft w:val="0"/>
                                                      <w:marRight w:val="0"/>
                                                      <w:marTop w:val="0"/>
                                                      <w:marBottom w:val="0"/>
                                                      <w:divBdr>
                                                        <w:top w:val="none" w:sz="0" w:space="0" w:color="auto"/>
                                                        <w:left w:val="none" w:sz="0" w:space="0" w:color="auto"/>
                                                        <w:bottom w:val="none" w:sz="0" w:space="0" w:color="auto"/>
                                                        <w:right w:val="none" w:sz="0" w:space="0" w:color="auto"/>
                                                      </w:divBdr>
                                                      <w:divsChild>
                                                        <w:div w:id="908618790">
                                                          <w:marLeft w:val="0"/>
                                                          <w:marRight w:val="0"/>
                                                          <w:marTop w:val="0"/>
                                                          <w:marBottom w:val="0"/>
                                                          <w:divBdr>
                                                            <w:top w:val="none" w:sz="0" w:space="0" w:color="auto"/>
                                                            <w:left w:val="none" w:sz="0" w:space="0" w:color="auto"/>
                                                            <w:bottom w:val="none" w:sz="0" w:space="0" w:color="auto"/>
                                                            <w:right w:val="none" w:sz="0" w:space="0" w:color="auto"/>
                                                          </w:divBdr>
                                                          <w:divsChild>
                                                            <w:div w:id="1919366513">
                                                              <w:marLeft w:val="0"/>
                                                              <w:marRight w:val="0"/>
                                                              <w:marTop w:val="0"/>
                                                              <w:marBottom w:val="0"/>
                                                              <w:divBdr>
                                                                <w:top w:val="none" w:sz="0" w:space="0" w:color="auto"/>
                                                                <w:left w:val="none" w:sz="0" w:space="0" w:color="auto"/>
                                                                <w:bottom w:val="none" w:sz="0" w:space="0" w:color="auto"/>
                                                                <w:right w:val="none" w:sz="0" w:space="0" w:color="auto"/>
                                                              </w:divBdr>
                                                              <w:divsChild>
                                                                <w:div w:id="1393040678">
                                                                  <w:marLeft w:val="0"/>
                                                                  <w:marRight w:val="0"/>
                                                                  <w:marTop w:val="0"/>
                                                                  <w:marBottom w:val="0"/>
                                                                  <w:divBdr>
                                                                    <w:top w:val="none" w:sz="0" w:space="0" w:color="auto"/>
                                                                    <w:left w:val="none" w:sz="0" w:space="0" w:color="auto"/>
                                                                    <w:bottom w:val="none" w:sz="0" w:space="0" w:color="auto"/>
                                                                    <w:right w:val="none" w:sz="0" w:space="0" w:color="auto"/>
                                                                  </w:divBdr>
                                                                </w:div>
                                                                <w:div w:id="619844399">
                                                                  <w:marLeft w:val="0"/>
                                                                  <w:marRight w:val="0"/>
                                                                  <w:marTop w:val="0"/>
                                                                  <w:marBottom w:val="0"/>
                                                                  <w:divBdr>
                                                                    <w:top w:val="none" w:sz="0" w:space="0" w:color="auto"/>
                                                                    <w:left w:val="none" w:sz="0" w:space="0" w:color="auto"/>
                                                                    <w:bottom w:val="none" w:sz="0" w:space="0" w:color="auto"/>
                                                                    <w:right w:val="none" w:sz="0" w:space="0" w:color="auto"/>
                                                                  </w:divBdr>
                                                                </w:div>
                                                                <w:div w:id="1842967252">
                                                                  <w:marLeft w:val="0"/>
                                                                  <w:marRight w:val="0"/>
                                                                  <w:marTop w:val="0"/>
                                                                  <w:marBottom w:val="0"/>
                                                                  <w:divBdr>
                                                                    <w:top w:val="none" w:sz="0" w:space="0" w:color="auto"/>
                                                                    <w:left w:val="none" w:sz="0" w:space="0" w:color="auto"/>
                                                                    <w:bottom w:val="none" w:sz="0" w:space="0" w:color="auto"/>
                                                                    <w:right w:val="none" w:sz="0" w:space="0" w:color="auto"/>
                                                                  </w:divBdr>
                                                                </w:div>
                                                                <w:div w:id="1355422822">
                                                                  <w:marLeft w:val="0"/>
                                                                  <w:marRight w:val="0"/>
                                                                  <w:marTop w:val="0"/>
                                                                  <w:marBottom w:val="0"/>
                                                                  <w:divBdr>
                                                                    <w:top w:val="none" w:sz="0" w:space="0" w:color="auto"/>
                                                                    <w:left w:val="none" w:sz="0" w:space="0" w:color="auto"/>
                                                                    <w:bottom w:val="none" w:sz="0" w:space="0" w:color="auto"/>
                                                                    <w:right w:val="none" w:sz="0" w:space="0" w:color="auto"/>
                                                                  </w:divBdr>
                                                                </w:div>
                                                                <w:div w:id="236212723">
                                                                  <w:marLeft w:val="0"/>
                                                                  <w:marRight w:val="0"/>
                                                                  <w:marTop w:val="0"/>
                                                                  <w:marBottom w:val="0"/>
                                                                  <w:divBdr>
                                                                    <w:top w:val="none" w:sz="0" w:space="0" w:color="auto"/>
                                                                    <w:left w:val="none" w:sz="0" w:space="0" w:color="auto"/>
                                                                    <w:bottom w:val="none" w:sz="0" w:space="0" w:color="auto"/>
                                                                    <w:right w:val="none" w:sz="0" w:space="0" w:color="auto"/>
                                                                  </w:divBdr>
                                                                </w:div>
                                                                <w:div w:id="1767651168">
                                                                  <w:marLeft w:val="0"/>
                                                                  <w:marRight w:val="0"/>
                                                                  <w:marTop w:val="0"/>
                                                                  <w:marBottom w:val="0"/>
                                                                  <w:divBdr>
                                                                    <w:top w:val="none" w:sz="0" w:space="0" w:color="auto"/>
                                                                    <w:left w:val="none" w:sz="0" w:space="0" w:color="auto"/>
                                                                    <w:bottom w:val="none" w:sz="0" w:space="0" w:color="auto"/>
                                                                    <w:right w:val="none" w:sz="0" w:space="0" w:color="auto"/>
                                                                  </w:divBdr>
                                                                </w:div>
                                                                <w:div w:id="2066055009">
                                                                  <w:marLeft w:val="0"/>
                                                                  <w:marRight w:val="0"/>
                                                                  <w:marTop w:val="0"/>
                                                                  <w:marBottom w:val="0"/>
                                                                  <w:divBdr>
                                                                    <w:top w:val="none" w:sz="0" w:space="0" w:color="auto"/>
                                                                    <w:left w:val="none" w:sz="0" w:space="0" w:color="auto"/>
                                                                    <w:bottom w:val="none" w:sz="0" w:space="0" w:color="auto"/>
                                                                    <w:right w:val="none" w:sz="0" w:space="0" w:color="auto"/>
                                                                  </w:divBdr>
                                                                </w:div>
                                                                <w:div w:id="1670938449">
                                                                  <w:marLeft w:val="0"/>
                                                                  <w:marRight w:val="0"/>
                                                                  <w:marTop w:val="0"/>
                                                                  <w:marBottom w:val="0"/>
                                                                  <w:divBdr>
                                                                    <w:top w:val="none" w:sz="0" w:space="0" w:color="auto"/>
                                                                    <w:left w:val="none" w:sz="0" w:space="0" w:color="auto"/>
                                                                    <w:bottom w:val="none" w:sz="0" w:space="0" w:color="auto"/>
                                                                    <w:right w:val="none" w:sz="0" w:space="0" w:color="auto"/>
                                                                  </w:divBdr>
                                                                </w:div>
                                                                <w:div w:id="1853718424">
                                                                  <w:marLeft w:val="0"/>
                                                                  <w:marRight w:val="0"/>
                                                                  <w:marTop w:val="0"/>
                                                                  <w:marBottom w:val="0"/>
                                                                  <w:divBdr>
                                                                    <w:top w:val="none" w:sz="0" w:space="0" w:color="auto"/>
                                                                    <w:left w:val="none" w:sz="0" w:space="0" w:color="auto"/>
                                                                    <w:bottom w:val="none" w:sz="0" w:space="0" w:color="auto"/>
                                                                    <w:right w:val="none" w:sz="0" w:space="0" w:color="auto"/>
                                                                  </w:divBdr>
                                                                </w:div>
                                                                <w:div w:id="183331475">
                                                                  <w:marLeft w:val="0"/>
                                                                  <w:marRight w:val="0"/>
                                                                  <w:marTop w:val="0"/>
                                                                  <w:marBottom w:val="0"/>
                                                                  <w:divBdr>
                                                                    <w:top w:val="none" w:sz="0" w:space="0" w:color="auto"/>
                                                                    <w:left w:val="none" w:sz="0" w:space="0" w:color="auto"/>
                                                                    <w:bottom w:val="none" w:sz="0" w:space="0" w:color="auto"/>
                                                                    <w:right w:val="none" w:sz="0" w:space="0" w:color="auto"/>
                                                                  </w:divBdr>
                                                                </w:div>
                                                                <w:div w:id="616832591">
                                                                  <w:marLeft w:val="0"/>
                                                                  <w:marRight w:val="0"/>
                                                                  <w:marTop w:val="0"/>
                                                                  <w:marBottom w:val="0"/>
                                                                  <w:divBdr>
                                                                    <w:top w:val="none" w:sz="0" w:space="0" w:color="auto"/>
                                                                    <w:left w:val="none" w:sz="0" w:space="0" w:color="auto"/>
                                                                    <w:bottom w:val="none" w:sz="0" w:space="0" w:color="auto"/>
                                                                    <w:right w:val="none" w:sz="0" w:space="0" w:color="auto"/>
                                                                  </w:divBdr>
                                                                </w:div>
                                                                <w:div w:id="11091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F3B7-82BB-4B68-91DE-699ADFB3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Will Luxton</cp:lastModifiedBy>
  <cp:revision>8</cp:revision>
  <cp:lastPrinted>2015-10-17T18:53:00Z</cp:lastPrinted>
  <dcterms:created xsi:type="dcterms:W3CDTF">2021-09-22T13:10:00Z</dcterms:created>
  <dcterms:modified xsi:type="dcterms:W3CDTF">2021-09-27T13:33:00Z</dcterms:modified>
</cp:coreProperties>
</file>